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#11</w:t>
      </w:r>
      <w:r>
        <w:rPr>
          <w:rFonts w:hint="eastAsia" w:cs="Arial"/>
          <w:b/>
          <w:bCs/>
          <w:sz w:val="22"/>
          <w:szCs w:val="22"/>
          <w:lang w:val="en-US" w:eastAsia="zh-CN"/>
        </w:rPr>
        <w:t>9</w:t>
      </w:r>
      <w:r>
        <w:rPr>
          <w:rFonts w:cs="Arial"/>
          <w:b/>
          <w:bCs/>
          <w:sz w:val="22"/>
          <w:szCs w:val="22"/>
          <w:lang w:val="en-US" w:eastAsia="zh-CN"/>
        </w:rPr>
        <w:t>bis</w:t>
      </w:r>
      <w:r>
        <w:rPr>
          <w:rFonts w:eastAsia="MS Mincho" w:cs="Arial"/>
          <w:b/>
          <w:bCs/>
          <w:sz w:val="22"/>
          <w:szCs w:val="22"/>
          <w:lang w:val="en-US"/>
        </w:rPr>
        <w:t>-e</w:t>
      </w:r>
      <w:r>
        <w:rPr>
          <w:b/>
          <w:i/>
          <w:sz w:val="28"/>
        </w:rPr>
        <w:tab/>
      </w:r>
      <w:r>
        <w:rPr>
          <w:rFonts w:eastAsia="MS Mincho" w:cs="Arial"/>
          <w:b/>
          <w:sz w:val="22"/>
          <w:szCs w:val="22"/>
          <w:lang w:val="en-US"/>
        </w:rPr>
        <w:t>R2-2210387</w:t>
      </w:r>
    </w:p>
    <w:p>
      <w:pPr>
        <w:pStyle w:val="101"/>
        <w:tabs>
          <w:tab w:val="right" w:pos="9639"/>
        </w:tabs>
        <w:spacing w:after="0"/>
        <w:rPr>
          <w:b/>
          <w:sz w:val="22"/>
          <w:szCs w:val="22"/>
          <w:lang w:eastAsia="zh-CN"/>
        </w:rPr>
      </w:pPr>
      <w:r>
        <w:rPr>
          <w:b/>
          <w:sz w:val="22"/>
          <w:szCs w:val="22"/>
          <w:lang w:eastAsia="zh-CN"/>
        </w:rPr>
        <w:t xml:space="preserve">Online, </w:t>
      </w:r>
      <w:r>
        <w:rPr>
          <w:rFonts w:hint="eastAsia"/>
          <w:b/>
          <w:sz w:val="22"/>
          <w:szCs w:val="22"/>
          <w:lang w:val="en-US" w:eastAsia="zh-CN"/>
        </w:rPr>
        <w:t>1</w:t>
      </w:r>
      <w:r>
        <w:rPr>
          <w:b/>
          <w:sz w:val="22"/>
          <w:szCs w:val="22"/>
          <w:lang w:val="en-US" w:eastAsia="zh-CN"/>
        </w:rPr>
        <w:t>0</w:t>
      </w:r>
      <w:r>
        <w:rPr>
          <w:b/>
          <w:sz w:val="22"/>
          <w:szCs w:val="22"/>
          <w:vertAlign w:val="superscript"/>
          <w:lang w:eastAsia="zh-CN"/>
        </w:rPr>
        <w:t>th</w:t>
      </w:r>
      <w:r>
        <w:rPr>
          <w:b/>
          <w:sz w:val="22"/>
          <w:szCs w:val="22"/>
          <w:lang w:eastAsia="zh-CN"/>
        </w:rPr>
        <w:t xml:space="preserve"> – 1</w:t>
      </w:r>
      <w:r>
        <w:rPr>
          <w:rFonts w:hint="eastAsia"/>
          <w:b/>
          <w:sz w:val="22"/>
          <w:szCs w:val="22"/>
          <w:lang w:val="en-US" w:eastAsia="zh-CN"/>
        </w:rPr>
        <w:t>9</w:t>
      </w:r>
      <w:r>
        <w:rPr>
          <w:b/>
          <w:sz w:val="22"/>
          <w:szCs w:val="22"/>
          <w:vertAlign w:val="superscript"/>
          <w:lang w:eastAsia="zh-CN"/>
        </w:rPr>
        <w:t>th</w:t>
      </w:r>
      <w:r>
        <w:rPr>
          <w:b/>
          <w:sz w:val="22"/>
          <w:szCs w:val="22"/>
          <w:lang w:eastAsia="zh-CN"/>
        </w:rPr>
        <w:t xml:space="preserve"> Oct 20</w:t>
      </w:r>
      <w:r>
        <w:rPr>
          <w:rFonts w:hint="eastAsia"/>
          <w:b/>
          <w:sz w:val="22"/>
          <w:szCs w:val="22"/>
          <w:lang w:eastAsia="zh-CN"/>
        </w:rPr>
        <w:t>2</w:t>
      </w:r>
      <w:r>
        <w:rPr>
          <w:b/>
          <w:sz w:val="22"/>
          <w:szCs w:val="22"/>
          <w:lang w:eastAsia="zh-CN"/>
        </w:rPr>
        <w:t>2</w:t>
      </w:r>
    </w:p>
    <w:p>
      <w:pPr>
        <w:pStyle w:val="24"/>
        <w:rPr>
          <w:rFonts w:eastAsia="宋体" w:cs="Arial"/>
          <w:bCs/>
          <w:sz w:val="22"/>
          <w:szCs w:val="22"/>
          <w:lang w:val="en-GB" w:eastAsia="zh-CN"/>
        </w:rPr>
      </w:pPr>
    </w:p>
    <w:p>
      <w:pPr>
        <w:pStyle w:val="24"/>
        <w:tabs>
          <w:tab w:val="left" w:pos="1800"/>
          <w:tab w:val="clear" w:pos="4536"/>
        </w:tabs>
        <w:spacing w:after="120"/>
        <w:ind w:left="1797" w:hanging="1797"/>
        <w:rPr>
          <w:rFonts w:eastAsia="宋体" w:cs="Arial"/>
          <w:sz w:val="22"/>
          <w:szCs w:val="22"/>
          <w:lang w:eastAsia="zh-CN"/>
        </w:rPr>
      </w:pPr>
      <w:r>
        <w:rPr>
          <w:rFonts w:cs="Arial"/>
          <w:sz w:val="22"/>
          <w:szCs w:val="22"/>
        </w:rPr>
        <w:t>Agenda Item</w:t>
      </w:r>
      <w:r>
        <w:rPr>
          <w:rFonts w:hint="eastAsia" w:cs="Arial"/>
          <w:sz w:val="22"/>
          <w:szCs w:val="22"/>
        </w:rPr>
        <w:t>:</w:t>
      </w:r>
      <w:r>
        <w:rPr>
          <w:rFonts w:cs="Arial"/>
          <w:sz w:val="22"/>
          <w:szCs w:val="22"/>
        </w:rPr>
        <w:tab/>
      </w:r>
      <w:r>
        <w:rPr>
          <w:rFonts w:cs="Arial"/>
          <w:sz w:val="22"/>
          <w:szCs w:val="22"/>
        </w:rPr>
        <w:t>8.1</w:t>
      </w:r>
      <w:r>
        <w:rPr>
          <w:rFonts w:hint="eastAsia" w:eastAsia="宋体" w:cs="Arial"/>
          <w:sz w:val="22"/>
          <w:szCs w:val="22"/>
          <w:lang w:eastAsia="zh-CN"/>
        </w:rPr>
        <w:t>2.2</w:t>
      </w:r>
    </w:p>
    <w:p>
      <w:pPr>
        <w:pStyle w:val="24"/>
        <w:tabs>
          <w:tab w:val="left" w:pos="1800"/>
          <w:tab w:val="clear" w:pos="4536"/>
        </w:tabs>
        <w:spacing w:after="120"/>
        <w:ind w:left="1797" w:hanging="1797"/>
        <w:rPr>
          <w:rFonts w:cs="Arial"/>
          <w:sz w:val="22"/>
          <w:szCs w:val="22"/>
        </w:rPr>
      </w:pPr>
      <w:r>
        <w:rPr>
          <w:rFonts w:cs="Arial"/>
          <w:sz w:val="22"/>
          <w:szCs w:val="22"/>
        </w:rPr>
        <w:t>Source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vivo</w:t>
      </w:r>
    </w:p>
    <w:p>
      <w:pPr>
        <w:pStyle w:val="24"/>
        <w:tabs>
          <w:tab w:val="left" w:pos="1800"/>
          <w:tab w:val="clear" w:pos="4536"/>
        </w:tabs>
        <w:spacing w:after="120"/>
        <w:ind w:left="1797" w:hanging="1797"/>
        <w:rPr>
          <w:rFonts w:eastAsia="宋体" w:cs="Arial"/>
          <w:sz w:val="22"/>
          <w:szCs w:val="22"/>
          <w:lang w:eastAsia="zh-CN"/>
        </w:rPr>
      </w:pPr>
      <w:r>
        <w:rPr>
          <w:rFonts w:cs="Arial"/>
          <w:sz w:val="22"/>
          <w:szCs w:val="22"/>
        </w:rPr>
        <w:t>Title</w:t>
      </w:r>
      <w:r>
        <w:rPr>
          <w:rFonts w:hint="eastAsia" w:cs="Arial"/>
          <w:sz w:val="22"/>
          <w:szCs w:val="22"/>
        </w:rPr>
        <w:t>:</w:t>
      </w:r>
      <w:r>
        <w:rPr>
          <w:rFonts w:cs="Arial"/>
          <w:sz w:val="22"/>
          <w:szCs w:val="22"/>
        </w:rPr>
        <w:t xml:space="preserve">         </w:t>
      </w:r>
      <w:r>
        <w:rPr>
          <w:rFonts w:cs="Arial"/>
          <w:sz w:val="22"/>
          <w:szCs w:val="22"/>
        </w:rPr>
        <w:tab/>
      </w:r>
      <w:r>
        <w:rPr>
          <w:rFonts w:hint="eastAsia" w:eastAsia="宋体" w:cs="Arial"/>
          <w:sz w:val="22"/>
          <w:szCs w:val="22"/>
          <w:lang w:eastAsia="zh-CN"/>
        </w:rPr>
        <w:t>Discussion on mobile IAB</w:t>
      </w:r>
      <w:r>
        <w:rPr>
          <w:rFonts w:eastAsia="宋体" w:cs="Arial"/>
          <w:sz w:val="22"/>
          <w:szCs w:val="22"/>
          <w:lang w:eastAsia="zh-CN"/>
        </w:rPr>
        <w:t xml:space="preserve"> open issues</w:t>
      </w:r>
    </w:p>
    <w:p>
      <w:pPr>
        <w:pStyle w:val="24"/>
        <w:tabs>
          <w:tab w:val="left" w:pos="1800"/>
          <w:tab w:val="clear" w:pos="4536"/>
        </w:tabs>
        <w:spacing w:after="120"/>
        <w:ind w:left="1797" w:hanging="1797"/>
        <w:rPr>
          <w:rFonts w:cs="Arial"/>
          <w:sz w:val="22"/>
          <w:szCs w:val="22"/>
        </w:rPr>
      </w:pPr>
      <w:r>
        <w:rPr>
          <w:rFonts w:cs="Arial"/>
          <w:sz w:val="22"/>
          <w:szCs w:val="22"/>
        </w:rPr>
        <w:t>Document for</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Discussion and Decision </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Pr>
          <w:rFonts w:hint="eastAsia" w:eastAsia="MS Mincho" w:cs="Times New Roman"/>
          <w:b w:val="0"/>
          <w:bCs w:val="0"/>
          <w:kern w:val="0"/>
          <w:sz w:val="36"/>
          <w:szCs w:val="20"/>
          <w:lang w:val="en-GB" w:eastAsia="ja-JP"/>
        </w:rPr>
        <w:t>Introduction</w:t>
      </w:r>
    </w:p>
    <w:p>
      <w:pPr>
        <w:rPr>
          <w:rFonts w:eastAsia="宋体"/>
          <w:lang w:eastAsia="zh-CN"/>
        </w:rPr>
      </w:pPr>
      <w:bookmarkStart w:id="2" w:name="_Hlk53665621"/>
      <w:r>
        <w:t>At RAN2#119-e, RAN2 has endorsed the following points on mobile IAB:</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pStyle w:val="102"/>
              <w:numPr>
                <w:ilvl w:val="0"/>
                <w:numId w:val="0"/>
              </w:numPr>
            </w:pPr>
            <w:r>
              <w:t xml:space="preserve">The following Points are Endorsed, i.e. for the plan for next meeting (after one round of discussion at R2 119-e): </w:t>
            </w:r>
          </w:p>
          <w:p>
            <w:pPr>
              <w:pStyle w:val="102"/>
              <w:numPr>
                <w:ilvl w:val="0"/>
                <w:numId w:val="0"/>
              </w:numPr>
              <w:rPr>
                <w:highlight w:val="yellow"/>
              </w:rPr>
            </w:pPr>
            <w:r>
              <w:rPr>
                <w:highlight w:val="yellow"/>
              </w:rPr>
              <w:t>P1: RAN2 to discuss scenarios, if and where enhancements to cell (re-)selection to/from the mobile IAB-node apply, e.g. based on mobile IAB-node broadcast parameter (this point doesn’t preclude other potential usage of Bcast info).</w:t>
            </w:r>
          </w:p>
          <w:p>
            <w:pPr>
              <w:pStyle w:val="102"/>
              <w:numPr>
                <w:ilvl w:val="0"/>
                <w:numId w:val="0"/>
              </w:numPr>
              <w:rPr>
                <w:highlight w:val="none"/>
              </w:rPr>
            </w:pPr>
            <w:r>
              <w:rPr>
                <w:highlight w:val="none"/>
              </w:rPr>
              <w:t>P2: Can discuss whether The mobile IAB-MT need to send a mobile-IAB indication (capability or mobility) to the IAB-donor-CU,</w:t>
            </w:r>
          </w:p>
          <w:p>
            <w:pPr>
              <w:pStyle w:val="102"/>
              <w:numPr>
                <w:ilvl w:val="0"/>
                <w:numId w:val="0"/>
              </w:numPr>
            </w:pPr>
            <w:r>
              <w:t xml:space="preserve">P3: For “dual-DU-way” of doing full migration, RAN2 may discuss whether the legacy UE should see the two logical cells/DUs as separate or same physical cell(s), and what procedure(s) the legacy UE needs to perform in either case. </w:t>
            </w:r>
          </w:p>
          <w:p>
            <w:pPr>
              <w:pStyle w:val="102"/>
              <w:numPr>
                <w:ilvl w:val="0"/>
                <w:numId w:val="0"/>
              </w:numPr>
            </w:pPr>
            <w:r>
              <w:rPr>
                <w:highlight w:val="yellow"/>
              </w:rPr>
              <w:t>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w:t>
            </w:r>
            <w:r>
              <w:t xml:space="preserve"> </w:t>
            </w:r>
            <w:bookmarkStart w:id="3" w:name="_GoBack"/>
            <w:bookmarkEnd w:id="3"/>
          </w:p>
          <w:p>
            <w:pPr>
              <w:pStyle w:val="102"/>
              <w:numPr>
                <w:ilvl w:val="0"/>
                <w:numId w:val="0"/>
              </w:numPr>
            </w:pPr>
            <w:r>
              <w:t xml:space="preserve">P5: RAN2 may discuss whether there is a problem of RACH configuration collision between mobile IAB and stationary network from RAN2 perspective and/or whether RAN2 should ask RAN1 to consider RAN1-related aspects. </w:t>
            </w:r>
          </w:p>
        </w:tc>
      </w:tr>
    </w:tbl>
    <w:p>
      <w:r>
        <w:t xml:space="preserve"> </w:t>
      </w:r>
    </w:p>
    <w:p>
      <w:pPr>
        <w:spacing w:before="120" w:beforeLines="50" w:after="120" w:line="260" w:lineRule="exact"/>
        <w:jc w:val="both"/>
        <w:rPr>
          <w:rFonts w:eastAsia="宋体"/>
          <w:lang w:eastAsia="zh-CN"/>
        </w:rPr>
      </w:pPr>
      <w:r>
        <w:t>In this contribution, we further discuss</w:t>
      </w:r>
      <w:r>
        <w:rPr>
          <w:rFonts w:hint="eastAsia" w:eastAsia="宋体"/>
          <w:lang w:eastAsia="zh-CN"/>
        </w:rPr>
        <w:t xml:space="preserve"> </w:t>
      </w:r>
      <w:r>
        <w:rPr>
          <w:rFonts w:eastAsia="宋体"/>
          <w:lang w:eastAsia="zh-CN"/>
        </w:rPr>
        <w:t>the following issues:</w:t>
      </w:r>
    </w:p>
    <w:bookmarkEnd w:id="2"/>
    <w:p>
      <w:pPr>
        <w:pStyle w:val="77"/>
        <w:numPr>
          <w:ilvl w:val="0"/>
          <w:numId w:val="7"/>
        </w:numPr>
        <w:spacing w:before="120" w:beforeLines="50" w:after="120" w:line="260" w:lineRule="exact"/>
        <w:ind w:firstLineChars="0"/>
        <w:rPr>
          <w:rFonts w:ascii="Times New Roman" w:hAnsi="Times New Roman"/>
          <w:sz w:val="20"/>
          <w:szCs w:val="20"/>
        </w:rPr>
      </w:pPr>
      <w:r>
        <w:rPr>
          <w:rFonts w:ascii="Times New Roman" w:hAnsi="Times New Roman"/>
          <w:sz w:val="20"/>
          <w:szCs w:val="20"/>
        </w:rPr>
        <w:t>Cell (re-)selection to/from the mobile IAB-node</w:t>
      </w:r>
    </w:p>
    <w:p>
      <w:pPr>
        <w:pStyle w:val="77"/>
        <w:numPr>
          <w:ilvl w:val="0"/>
          <w:numId w:val="7"/>
        </w:numPr>
        <w:spacing w:before="120" w:beforeLines="50" w:after="120" w:line="260" w:lineRule="exact"/>
        <w:ind w:firstLineChars="0"/>
        <w:rPr>
          <w:rFonts w:ascii="Times New Roman" w:hAnsi="Times New Roman"/>
          <w:sz w:val="20"/>
          <w:szCs w:val="20"/>
        </w:rPr>
      </w:pPr>
      <w:r>
        <w:rPr>
          <w:rFonts w:ascii="Times New Roman" w:hAnsi="Times New Roman"/>
          <w:sz w:val="20"/>
          <w:szCs w:val="20"/>
        </w:rPr>
        <w:t>PCI collision</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Discussion</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hint="eastAsia" w:ascii="Arial" w:hAnsi="Arial" w:eastAsia="等线" w:cs="Arial"/>
          <w:iCs/>
          <w:sz w:val="32"/>
          <w:szCs w:val="32"/>
          <w:lang w:eastAsia="zh-CN"/>
        </w:rPr>
        <w:t xml:space="preserve">UE </w:t>
      </w:r>
      <w:r>
        <w:rPr>
          <w:rFonts w:ascii="Arial" w:hAnsi="Arial" w:eastAsia="等线" w:cs="Arial"/>
          <w:iCs/>
          <w:sz w:val="32"/>
          <w:szCs w:val="32"/>
          <w:lang w:eastAsia="zh-CN"/>
        </w:rPr>
        <w:t>reselection to/from mobile IAB cell</w:t>
      </w:r>
    </w:p>
    <w:p>
      <w:pPr>
        <w:pStyle w:val="179"/>
        <w:spacing w:line="240" w:lineRule="auto"/>
        <w:ind w:firstLine="0" w:firstLineChars="0"/>
        <w:jc w:val="left"/>
        <w:rPr>
          <w:rFonts w:eastAsia="等线"/>
          <w:lang w:val="en-GB" w:eastAsia="zh-CN"/>
        </w:rPr>
      </w:pPr>
      <w:r>
        <w:rPr>
          <w:rFonts w:eastAsia="等线"/>
          <w:lang w:eastAsia="zh-CN"/>
        </w:rPr>
        <w:t xml:space="preserve">As discussed in [1], </w:t>
      </w:r>
      <w:r>
        <w:rPr>
          <w:rFonts w:eastAsia="等线"/>
          <w:lang w:val="en-GB" w:eastAsia="zh-CN"/>
        </w:rPr>
        <w:t xml:space="preserve">a UE may be camping on a normal non-moving cell or served by a normal non-moving cell when a mobile IAB cell passes by. If the mobile IAB cell quality is above threshold and its coverage overlaps with UE coverage, UE may reselect to the mobile IAB cell. So, at last RAN2 meeting the consideration on whether mobile IAB-node broadcast parameter may be helpful for UE selection (re-)selection. We understand that, beside cell signal threshold, UE knowing some cell characteristics, such as service type that a cell can provide may also be useful for UE decision on whether reselect to a cell or not. That is, a UE may reselect to mobile IAB not based only on the mobile IAB cell quality but rather for the kind of service provided by the mobile IAB cell or by some specific characteristics of the mobile IAB. </w:t>
      </w:r>
    </w:p>
    <w:p>
      <w:pPr>
        <w:pStyle w:val="170"/>
        <w:numPr>
          <w:ilvl w:val="0"/>
          <w:numId w:val="8"/>
        </w:numPr>
        <w:tabs>
          <w:tab w:val="clear" w:pos="1701"/>
        </w:tabs>
        <w:spacing w:before="100" w:beforeAutospacing="1"/>
        <w:ind w:left="1701" w:hanging="1701"/>
        <w:rPr>
          <w:rFonts w:ascii="Times New Roman" w:hAnsi="Times New Roman"/>
          <w:szCs w:val="24"/>
        </w:rPr>
      </w:pPr>
      <w:r>
        <w:rPr>
          <w:rFonts w:ascii="Times New Roman" w:hAnsi="Times New Roman"/>
        </w:rPr>
        <w:t>UE may reselect to a mobile IAB cell based on certain criteria, such as based on service type or mobile IAB cell characteristics, e.g., supported slice, provided by the mobile IAB cell.</w:t>
      </w:r>
    </w:p>
    <w:p>
      <w:pPr>
        <w:pStyle w:val="179"/>
        <w:spacing w:line="240" w:lineRule="auto"/>
        <w:ind w:firstLine="0" w:firstLineChars="0"/>
        <w:jc w:val="left"/>
        <w:rPr>
          <w:rFonts w:eastAsia="等线"/>
          <w:lang w:val="en-GB" w:eastAsia="zh-CN"/>
        </w:rPr>
      </w:pPr>
      <w:r>
        <w:rPr>
          <w:rFonts w:eastAsia="等线"/>
          <w:lang w:val="en-GB" w:eastAsia="zh-CN"/>
        </w:rPr>
        <w:t>UE may be aware of the service type provided by mobile IAB by considering the mobile IAB information broadcast. Thus,</w:t>
      </w:r>
    </w:p>
    <w:p>
      <w:pPr>
        <w:pStyle w:val="170"/>
        <w:numPr>
          <w:ilvl w:val="0"/>
          <w:numId w:val="8"/>
        </w:numPr>
        <w:tabs>
          <w:tab w:val="clear" w:pos="1701"/>
        </w:tabs>
        <w:spacing w:before="100" w:beforeAutospacing="1"/>
        <w:ind w:left="1701" w:hanging="1701"/>
        <w:rPr>
          <w:rFonts w:ascii="Times New Roman" w:hAnsi="Times New Roman"/>
          <w:szCs w:val="24"/>
        </w:rPr>
      </w:pPr>
      <w:r>
        <w:rPr>
          <w:rFonts w:ascii="Times New Roman" w:hAnsi="Times New Roman"/>
        </w:rPr>
        <w:t>System information broadcast by mobile IAB can be considered by UE whether to may reselect to a mobile IAB cell or not.</w:t>
      </w: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 xml:space="preserve">Legacy UE uses the information broadcast by mobile IAB to decide to reselect to the mobile IAB cell </w:t>
      </w:r>
    </w:p>
    <w:p>
      <w:pPr>
        <w:pStyle w:val="179"/>
        <w:spacing w:line="240" w:lineRule="auto"/>
        <w:ind w:firstLine="0" w:firstLineChars="0"/>
        <w:jc w:val="left"/>
        <w:rPr>
          <w:rFonts w:eastAsia="等线"/>
          <w:lang w:eastAsia="zh-CN"/>
        </w:rPr>
      </w:pPr>
      <w:r>
        <w:rPr>
          <w:rFonts w:eastAsia="等线"/>
          <w:lang w:eastAsia="zh-CN"/>
        </w:rPr>
        <w:t>In release 17, Slice aware cell reselection was introduced and captured as follows:</w:t>
      </w:r>
    </w:p>
    <w:p>
      <w:pPr>
        <w:jc w:val="both"/>
        <w:rPr>
          <w:i/>
          <w:lang w:eastAsia="zh-CN"/>
        </w:rPr>
      </w:pPr>
      <w:r>
        <w:rPr>
          <w:i/>
          <w:highlight w:val="yellow"/>
        </w:rPr>
        <w:t>Slice specific cell reselection information can be included in SIB16</w:t>
      </w:r>
      <w:r>
        <w:rPr>
          <w:i/>
        </w:rPr>
        <w:t xml:space="preserve"> and in </w:t>
      </w:r>
      <w:r>
        <w:rPr>
          <w:i/>
          <w:iCs/>
        </w:rPr>
        <w:t>RRCRelease</w:t>
      </w:r>
      <w:r>
        <w:rPr>
          <w:i/>
        </w:rPr>
        <w:t xml:space="preserve"> messages. The slice specific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p>
    <w:p>
      <w:pPr>
        <w:jc w:val="both"/>
        <w:rPr>
          <w:i/>
        </w:rPr>
      </w:pPr>
      <w:r>
        <w:rPr>
          <w:i/>
          <w:highlight w:val="yellow"/>
        </w:rPr>
        <w:t>When a UE supports slice aware cell reselection, and when slice specific cell reselection information is provided to the UE, then the UE uses the slice specific cell reselection information.</w:t>
      </w:r>
      <w:r>
        <w:rPr>
          <w:i/>
        </w:rPr>
        <w:t xml:space="preserve"> Valid cell reselection information provided in </w:t>
      </w:r>
      <w:r>
        <w:rPr>
          <w:i/>
          <w:iCs/>
        </w:rPr>
        <w:t>RRCRelease</w:t>
      </w:r>
      <w:r>
        <w:rPr>
          <w:i/>
        </w:rPr>
        <w:t xml:space="preserve"> always has a priority over cell reselection information provided in SIB messages. </w:t>
      </w:r>
    </w:p>
    <w:p>
      <w:pPr>
        <w:spacing w:before="120" w:after="120" w:line="260" w:lineRule="auto"/>
        <w:rPr>
          <w:rFonts w:eastAsia="等线" w:cs="Batang"/>
        </w:rPr>
      </w:pPr>
      <w:r>
        <w:rPr>
          <w:rFonts w:eastAsia="等线" w:cs="Batang"/>
        </w:rPr>
        <w:t>We think, mobile IAB are deployed for specific purpose that can be characterized in term of slice support. That is, operators can configure mobile IAB cell with specific slice info and mobile IAB cell can broadcast its supported slice info. Based on the slice info broadcast by the mobile IAB cell, UE can decide whether to reselect to the mobile IAB cell. Thus,</w:t>
      </w:r>
    </w:p>
    <w:p>
      <w:pPr>
        <w:pStyle w:val="170"/>
        <w:numPr>
          <w:ilvl w:val="0"/>
          <w:numId w:val="8"/>
        </w:numPr>
        <w:tabs>
          <w:tab w:val="clear" w:pos="1701"/>
        </w:tabs>
        <w:spacing w:before="100" w:beforeAutospacing="1"/>
        <w:ind w:left="1701" w:hanging="1701"/>
        <w:rPr>
          <w:rFonts w:ascii="Times New Roman" w:hAnsi="Times New Roman"/>
          <w:szCs w:val="24"/>
        </w:rPr>
      </w:pPr>
      <w:r>
        <w:rPr>
          <w:rFonts w:ascii="Times New Roman" w:hAnsi="Times New Roman"/>
        </w:rPr>
        <w:t>Current slice aware cell reselection mechanism can allow a UE decide to reselect to mobile IAB cell or not.</w:t>
      </w:r>
    </w:p>
    <w:p>
      <w:pPr>
        <w:pStyle w:val="170"/>
        <w:tabs>
          <w:tab w:val="clear" w:pos="1701"/>
        </w:tabs>
        <w:spacing w:before="100" w:beforeAutospacing="1"/>
        <w:ind w:left="0" w:firstLine="0"/>
        <w:rPr>
          <w:rFonts w:ascii="Times New Roman" w:hAnsi="Times New Roman" w:eastAsia="等线" w:cs="Batang"/>
          <w:b w:val="0"/>
          <w:bCs w:val="0"/>
          <w:szCs w:val="24"/>
          <w:lang w:val="en-US" w:eastAsia="en-US"/>
        </w:rPr>
      </w:pPr>
      <w:r>
        <w:rPr>
          <w:rFonts w:ascii="Times New Roman" w:hAnsi="Times New Roman" w:eastAsia="等线" w:cs="Batang"/>
          <w:b w:val="0"/>
          <w:bCs w:val="0"/>
          <w:szCs w:val="24"/>
          <w:lang w:val="en-US" w:eastAsia="en-US"/>
        </w:rPr>
        <w:t>Therefore,</w:t>
      </w: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Release 17 slice aware cell reselection mechanism is reused as baseline for UE reselection to/from a mobile IAB cell.</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PCI collision avoidance</w:t>
      </w:r>
    </w:p>
    <w:p>
      <w:pPr>
        <w:spacing w:before="120" w:after="120" w:line="260" w:lineRule="auto"/>
        <w:rPr>
          <w:rFonts w:eastAsia="等线"/>
          <w:lang w:val="en-GB" w:eastAsia="zh-CN"/>
        </w:rPr>
      </w:pPr>
      <w:r>
        <w:rPr>
          <w:rFonts w:eastAsia="等线"/>
          <w:lang w:val="en-GB" w:eastAsia="zh-CN"/>
        </w:rPr>
        <w:t>As mobile IAB moves around normal non-moving cells, it may happen that mobile IAB cell PCI collide with a non-moving cell. Such PCI collision may affect users' service experience both for UE camping on the mobile IAB cell and UE camping on non-moving cells.</w:t>
      </w:r>
    </w:p>
    <w:p>
      <w:pPr>
        <w:pStyle w:val="170"/>
        <w:numPr>
          <w:ilvl w:val="0"/>
          <w:numId w:val="8"/>
        </w:numPr>
        <w:tabs>
          <w:tab w:val="clear" w:pos="1701"/>
        </w:tabs>
        <w:spacing w:before="100" w:beforeAutospacing="1" w:line="260" w:lineRule="auto"/>
        <w:ind w:left="1701" w:hanging="1701"/>
        <w:rPr>
          <w:rFonts w:ascii="Times New Roman" w:hAnsi="Times New Roman"/>
        </w:rPr>
      </w:pPr>
      <w:r>
        <w:rPr>
          <w:rFonts w:ascii="Times New Roman" w:hAnsi="Times New Roman"/>
        </w:rPr>
        <w:t xml:space="preserve">Due to mobile IAB mobility, PCI collision may happen between </w:t>
      </w:r>
      <w:r>
        <w:rPr>
          <w:rFonts w:ascii="Times New Roman" w:hAnsi="Times New Roman" w:eastAsia="等线"/>
          <w:lang w:eastAsia="zh-CN"/>
        </w:rPr>
        <w:t>mobile IAB cell and non-moving cell</w:t>
      </w:r>
      <w:r>
        <w:rPr>
          <w:rFonts w:ascii="Times New Roman" w:hAnsi="Times New Roman"/>
        </w:rPr>
        <w:t xml:space="preserve"> </w:t>
      </w:r>
    </w:p>
    <w:p>
      <w:pPr>
        <w:spacing w:before="120" w:after="120" w:line="260" w:lineRule="auto"/>
        <w:rPr>
          <w:rFonts w:eastAsia="等线"/>
        </w:rPr>
      </w:pPr>
      <w:r>
        <w:rPr>
          <w:rFonts w:eastAsia="等线"/>
        </w:rPr>
        <w:t>To resolve such potential PCI collision the following approaches can be considered:</w:t>
      </w:r>
    </w:p>
    <w:p>
      <w:pPr>
        <w:pStyle w:val="77"/>
        <w:numPr>
          <w:ilvl w:val="0"/>
          <w:numId w:val="10"/>
        </w:numPr>
        <w:spacing w:before="120" w:after="120" w:line="260" w:lineRule="auto"/>
        <w:ind w:firstLineChars="0"/>
        <w:rPr>
          <w:rFonts w:ascii="Times New Roman" w:hAnsi="Times New Roman" w:eastAsia="等线"/>
          <w:lang w:val="en-GB"/>
        </w:rPr>
      </w:pPr>
      <w:r>
        <w:rPr>
          <w:rFonts w:ascii="Times New Roman" w:hAnsi="Times New Roman" w:eastAsia="等线"/>
          <w:b/>
          <w:lang w:val="en-GB"/>
        </w:rPr>
        <w:t>Option 1</w:t>
      </w:r>
      <w:r>
        <w:rPr>
          <w:rFonts w:ascii="Times New Roman" w:hAnsi="Times New Roman" w:eastAsia="等线"/>
          <w:lang w:val="en-GB"/>
        </w:rPr>
        <w:t>: PCI management to have separate set of PCIs using PCI partitioning: one set for mobile IAB cell and one set for non-moving cell</w:t>
      </w:r>
    </w:p>
    <w:p>
      <w:pPr>
        <w:pStyle w:val="77"/>
        <w:numPr>
          <w:ilvl w:val="0"/>
          <w:numId w:val="10"/>
        </w:numPr>
        <w:spacing w:before="120" w:after="120" w:line="260" w:lineRule="auto"/>
        <w:ind w:firstLineChars="0"/>
        <w:rPr>
          <w:rFonts w:ascii="Times New Roman" w:hAnsi="Times New Roman" w:eastAsia="等线"/>
          <w:lang w:val="en-GB"/>
        </w:rPr>
      </w:pPr>
      <w:r>
        <w:rPr>
          <w:rFonts w:ascii="Times New Roman" w:hAnsi="Times New Roman" w:eastAsia="等线"/>
          <w:b/>
          <w:lang w:val="en-GB"/>
        </w:rPr>
        <w:t>Option 2</w:t>
      </w:r>
      <w:r>
        <w:rPr>
          <w:rFonts w:ascii="Times New Roman" w:hAnsi="Times New Roman" w:eastAsia="等线"/>
          <w:lang w:val="en-GB"/>
        </w:rPr>
        <w:t>: Introduce a mechanism to mitigate PCI collision along mobile IAB mobility trajectory.</w:t>
      </w:r>
    </w:p>
    <w:p>
      <w:pPr>
        <w:spacing w:before="120" w:after="120" w:line="260" w:lineRule="auto"/>
        <w:rPr>
          <w:rFonts w:eastAsia="等线"/>
        </w:rPr>
      </w:pPr>
      <w:r>
        <w:rPr>
          <w:rFonts w:eastAsia="等线"/>
          <w:b/>
        </w:rPr>
        <w:t>Option 1</w:t>
      </w:r>
      <w:r>
        <w:rPr>
          <w:rFonts w:eastAsia="等线"/>
        </w:rPr>
        <w:t xml:space="preserve"> is simple and does not require any standardization effort. But, this may restrict operator PCI allocation flexibility for non-moving cell, the PCI set would be restricted to less than the normal number for network deployment. </w:t>
      </w:r>
    </w:p>
    <w:p>
      <w:pPr>
        <w:spacing w:before="120" w:after="120" w:line="260" w:lineRule="auto"/>
        <w:rPr>
          <w:rFonts w:eastAsia="等线"/>
        </w:rPr>
      </w:pPr>
      <w:r>
        <w:rPr>
          <w:rFonts w:eastAsia="等线"/>
          <w:b/>
        </w:rPr>
        <w:t>Option 2</w:t>
      </w:r>
      <w:r>
        <w:rPr>
          <w:rFonts w:eastAsia="等线"/>
        </w:rPr>
        <w:t xml:space="preserve"> is more flexible for PCI allocation. But, this may require perpetual PCI collision avoidance monitoring along mobile IAB moving trajectory. This may also require significant standardization impact.</w:t>
      </w:r>
    </w:p>
    <w:p>
      <w:pPr>
        <w:pStyle w:val="170"/>
        <w:numPr>
          <w:ilvl w:val="0"/>
          <w:numId w:val="8"/>
        </w:numPr>
        <w:tabs>
          <w:tab w:val="clear" w:pos="1701"/>
        </w:tabs>
        <w:spacing w:before="100" w:beforeAutospacing="1" w:line="260" w:lineRule="auto"/>
        <w:ind w:left="1701" w:hanging="1701"/>
        <w:rPr>
          <w:rFonts w:ascii="Times New Roman" w:hAnsi="Times New Roman"/>
        </w:rPr>
      </w:pPr>
      <w:r>
        <w:rPr>
          <w:rFonts w:ascii="Times New Roman" w:hAnsi="Times New Roman"/>
        </w:rPr>
        <w:t>The following two solutions can be used to address mobile IAB PCI collision:</w:t>
      </w:r>
    </w:p>
    <w:p>
      <w:pPr>
        <w:pStyle w:val="77"/>
        <w:numPr>
          <w:ilvl w:val="0"/>
          <w:numId w:val="10"/>
        </w:numPr>
        <w:spacing w:before="120" w:after="120" w:line="259" w:lineRule="auto"/>
        <w:ind w:left="2058" w:hanging="357" w:firstLineChars="0"/>
        <w:rPr>
          <w:rFonts w:ascii="Times New Roman" w:hAnsi="Times New Roman" w:eastAsia="等线"/>
          <w:b/>
          <w:sz w:val="20"/>
          <w:szCs w:val="20"/>
          <w:lang w:val="en-GB"/>
        </w:rPr>
      </w:pPr>
      <w:r>
        <w:rPr>
          <w:rFonts w:ascii="Times New Roman" w:hAnsi="Times New Roman" w:eastAsia="等线"/>
          <w:b/>
          <w:sz w:val="20"/>
          <w:szCs w:val="20"/>
          <w:lang w:val="en-GB"/>
        </w:rPr>
        <w:t>PCI management to have separate set of PCIs using PCI partitioning: one set for mobile IAB cell and one set for non-moving cell, or</w:t>
      </w:r>
    </w:p>
    <w:p>
      <w:pPr>
        <w:pStyle w:val="77"/>
        <w:numPr>
          <w:ilvl w:val="0"/>
          <w:numId w:val="10"/>
        </w:numPr>
        <w:spacing w:before="120" w:after="120" w:line="259" w:lineRule="auto"/>
        <w:ind w:left="2058" w:hanging="357" w:firstLineChars="0"/>
        <w:rPr>
          <w:rFonts w:ascii="Times New Roman" w:hAnsi="Times New Roman" w:eastAsia="等线"/>
          <w:b/>
          <w:sz w:val="20"/>
          <w:szCs w:val="20"/>
          <w:lang w:val="en-GB"/>
        </w:rPr>
      </w:pPr>
      <w:r>
        <w:rPr>
          <w:rFonts w:ascii="Times New Roman" w:hAnsi="Times New Roman" w:eastAsia="等线"/>
          <w:b/>
          <w:sz w:val="20"/>
          <w:szCs w:val="20"/>
          <w:lang w:val="en-GB"/>
        </w:rPr>
        <w:t>Introduce a mechanism to mitigate PCI collision along mobile IAB mobility trajectory.</w:t>
      </w:r>
    </w:p>
    <w:p>
      <w:pPr>
        <w:spacing w:before="120" w:after="120" w:line="260" w:lineRule="auto"/>
        <w:rPr>
          <w:rFonts w:eastAsia="等线"/>
        </w:rPr>
      </w:pPr>
      <w:r>
        <w:rPr>
          <w:rFonts w:eastAsia="等线"/>
        </w:rPr>
        <w:t>It is worth noting that mobile IAB are not supposed to randomly roaming, but they are usually supposed to move along some predetermined itinerary. That means operators can able to predict where a mobile IAB cell PCI may collide with stationary cells. So, based on Option 1, operator can be able to avoid PCI collision between mobile IAB cell and stationary cells along mobile IAB route.</w:t>
      </w:r>
    </w:p>
    <w:p>
      <w:pPr>
        <w:spacing w:before="120" w:after="120" w:line="260" w:lineRule="auto"/>
        <w:rPr>
          <w:rFonts w:eastAsia="等线"/>
        </w:rPr>
      </w:pPr>
      <w:r>
        <w:rPr>
          <w:rFonts w:eastAsia="等线"/>
        </w:rPr>
        <w:t>Therefore,</w:t>
      </w:r>
    </w:p>
    <w:p>
      <w:pPr>
        <w:pStyle w:val="98"/>
        <w:numPr>
          <w:ilvl w:val="0"/>
          <w:numId w:val="9"/>
        </w:numPr>
        <w:tabs>
          <w:tab w:val="clear" w:pos="1304"/>
        </w:tabs>
        <w:ind w:left="1701" w:hanging="1701"/>
        <w:rPr>
          <w:rFonts w:ascii="Times New Roman" w:hAnsi="Times New Roman" w:eastAsia="宋体"/>
        </w:rPr>
      </w:pPr>
      <w:r>
        <w:rPr>
          <w:rFonts w:ascii="Times New Roman" w:hAnsi="Times New Roman" w:eastAsia="宋体"/>
        </w:rPr>
        <w:t>PCI management to have separate set of PCIs using PCI partitioning: one set for mobile IAB cell and one set for non-moving cell is sufficient to resolve potential PCI collision between mobile IAB cell and stationary cell along mobile IAB route.</w:t>
      </w:r>
    </w:p>
    <w:p>
      <w:pPr>
        <w:spacing w:before="120" w:after="120" w:line="260" w:lineRule="auto"/>
        <w:rPr>
          <w:rFonts w:eastAsia="等线"/>
        </w:rPr>
      </w:pP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Conclusion</w:t>
      </w:r>
    </w:p>
    <w:bookmarkEnd w:id="0"/>
    <w:bookmarkEnd w:id="1"/>
    <w:p>
      <w:pPr>
        <w:pStyle w:val="3"/>
        <w:rPr>
          <w:rFonts w:eastAsia="宋体"/>
          <w:b/>
          <w:lang w:val="en-GB" w:eastAsia="zh-CN"/>
        </w:rPr>
      </w:pPr>
      <w:r>
        <w:rPr>
          <w:rFonts w:eastAsia="宋体"/>
          <w:lang w:val="en-GB" w:eastAsia="zh-CN"/>
        </w:rPr>
        <w:t>In this paper, the following observations and proposal are given:</w:t>
      </w:r>
    </w:p>
    <w:p>
      <w:pPr>
        <w:pStyle w:val="170"/>
        <w:numPr>
          <w:ilvl w:val="0"/>
          <w:numId w:val="11"/>
        </w:numPr>
        <w:tabs>
          <w:tab w:val="clear" w:pos="1701"/>
        </w:tabs>
        <w:spacing w:before="120" w:beforeAutospacing="1" w:line="260" w:lineRule="auto"/>
        <w:ind w:left="1701" w:hanging="1701"/>
        <w:rPr>
          <w:rFonts w:ascii="Times New Roman" w:hAnsi="Times New Roman"/>
        </w:rPr>
      </w:pPr>
      <w:r>
        <w:rPr>
          <w:rFonts w:ascii="Times New Roman" w:hAnsi="Times New Roman"/>
        </w:rPr>
        <w:t>UE may reselect to a mobile IAB cell based on certain criteria, such as based on service type or mobile IAB cell characteristics, e.g., supported slice, provided by the mobile IAB cell.</w:t>
      </w:r>
    </w:p>
    <w:p>
      <w:pPr>
        <w:pStyle w:val="170"/>
        <w:numPr>
          <w:ilvl w:val="0"/>
          <w:numId w:val="11"/>
        </w:numPr>
        <w:tabs>
          <w:tab w:val="clear" w:pos="1701"/>
        </w:tabs>
        <w:spacing w:before="120" w:beforeAutospacing="1" w:line="260" w:lineRule="auto"/>
        <w:ind w:left="1701" w:hanging="1701"/>
        <w:rPr>
          <w:rFonts w:ascii="Times New Roman" w:hAnsi="Times New Roman"/>
        </w:rPr>
      </w:pPr>
      <w:r>
        <w:rPr>
          <w:rFonts w:ascii="Times New Roman" w:hAnsi="Times New Roman"/>
        </w:rPr>
        <w:t>System information broadcast by mobile IAB can be considered by UE whether to may reselect to a mobile IAB cell or not.</w:t>
      </w:r>
    </w:p>
    <w:p>
      <w:pPr>
        <w:pStyle w:val="170"/>
        <w:numPr>
          <w:ilvl w:val="0"/>
          <w:numId w:val="11"/>
        </w:numPr>
        <w:tabs>
          <w:tab w:val="clear" w:pos="1701"/>
        </w:tabs>
        <w:spacing w:before="120" w:beforeAutospacing="1" w:line="260" w:lineRule="auto"/>
        <w:ind w:left="1701" w:hanging="1701"/>
        <w:rPr>
          <w:rFonts w:ascii="Times New Roman" w:hAnsi="Times New Roman"/>
        </w:rPr>
      </w:pPr>
      <w:r>
        <w:rPr>
          <w:rFonts w:ascii="Times New Roman" w:hAnsi="Times New Roman"/>
        </w:rPr>
        <w:t>Current slice aware cell reselection mechanism can allow a UE decide to reselect to mobile IAB cell or not.</w:t>
      </w:r>
    </w:p>
    <w:p>
      <w:pPr>
        <w:pStyle w:val="170"/>
        <w:numPr>
          <w:ilvl w:val="0"/>
          <w:numId w:val="11"/>
        </w:numPr>
        <w:tabs>
          <w:tab w:val="clear" w:pos="1701"/>
        </w:tabs>
        <w:spacing w:before="120" w:beforeAutospacing="1" w:line="260" w:lineRule="auto"/>
        <w:ind w:left="1701" w:hanging="1701"/>
        <w:rPr>
          <w:rFonts w:ascii="Times New Roman" w:hAnsi="Times New Roman"/>
        </w:rPr>
      </w:pPr>
      <w:r>
        <w:rPr>
          <w:rFonts w:ascii="Times New Roman" w:hAnsi="Times New Roman"/>
        </w:rPr>
        <w:t xml:space="preserve">Due to mobile IAB mobility, PCI collision may happen between mobile IAB cell and non-moving cell </w:t>
      </w:r>
    </w:p>
    <w:p>
      <w:pPr>
        <w:pStyle w:val="170"/>
        <w:numPr>
          <w:ilvl w:val="0"/>
          <w:numId w:val="11"/>
        </w:numPr>
        <w:tabs>
          <w:tab w:val="clear" w:pos="1701"/>
        </w:tabs>
        <w:spacing w:before="120" w:beforeAutospacing="1" w:line="260" w:lineRule="auto"/>
        <w:ind w:left="1701" w:hanging="1701"/>
        <w:rPr>
          <w:rFonts w:ascii="Times New Roman" w:hAnsi="Times New Roman"/>
        </w:rPr>
      </w:pPr>
      <w:r>
        <w:rPr>
          <w:rFonts w:ascii="Times New Roman" w:hAnsi="Times New Roman"/>
        </w:rPr>
        <w:t>The following two solutions can be used to address mobile IAB PCI collision:</w:t>
      </w:r>
    </w:p>
    <w:p>
      <w:pPr>
        <w:pStyle w:val="77"/>
        <w:numPr>
          <w:ilvl w:val="0"/>
          <w:numId w:val="10"/>
        </w:numPr>
        <w:spacing w:before="120" w:after="120" w:line="259" w:lineRule="auto"/>
        <w:ind w:left="2058" w:hanging="357" w:firstLineChars="0"/>
        <w:rPr>
          <w:rFonts w:ascii="Times New Roman" w:hAnsi="Times New Roman" w:eastAsia="等线"/>
          <w:b/>
          <w:sz w:val="20"/>
          <w:szCs w:val="20"/>
          <w:lang w:val="en-GB"/>
        </w:rPr>
      </w:pPr>
      <w:r>
        <w:rPr>
          <w:rFonts w:ascii="Times New Roman" w:hAnsi="Times New Roman" w:eastAsia="等线"/>
          <w:b/>
          <w:sz w:val="20"/>
          <w:szCs w:val="20"/>
          <w:lang w:val="en-GB"/>
        </w:rPr>
        <w:t>PCI management to have separate set of PCIs using PCI partitioning: one set for mobile IAB cell and one set for non-moving cell, or</w:t>
      </w:r>
    </w:p>
    <w:p>
      <w:pPr>
        <w:pStyle w:val="77"/>
        <w:numPr>
          <w:ilvl w:val="0"/>
          <w:numId w:val="10"/>
        </w:numPr>
        <w:spacing w:before="120" w:after="120" w:line="259" w:lineRule="auto"/>
        <w:ind w:left="2058" w:hanging="357" w:firstLineChars="0"/>
        <w:rPr>
          <w:rFonts w:ascii="Times New Roman" w:hAnsi="Times New Roman" w:eastAsia="等线"/>
          <w:b/>
          <w:sz w:val="20"/>
          <w:szCs w:val="20"/>
          <w:lang w:val="en-GB"/>
        </w:rPr>
      </w:pPr>
      <w:r>
        <w:rPr>
          <w:rFonts w:ascii="Times New Roman" w:hAnsi="Times New Roman" w:eastAsia="等线"/>
          <w:b/>
          <w:sz w:val="20"/>
          <w:szCs w:val="20"/>
          <w:lang w:val="en-GB"/>
        </w:rPr>
        <w:t>Introduce a mechanism to mitigate PCI collision along mobile IAB mobility trajectory.</w:t>
      </w:r>
    </w:p>
    <w:p>
      <w:pPr>
        <w:pStyle w:val="3"/>
        <w:ind w:left="1440" w:hanging="1440"/>
        <w:rPr>
          <w:bCs/>
        </w:rPr>
      </w:pPr>
      <w:r>
        <w:rPr>
          <w:bCs/>
        </w:rPr>
        <w:t>And</w:t>
      </w:r>
      <w:r>
        <w:rPr>
          <w:bCs/>
        </w:rPr>
        <w:tab/>
      </w:r>
    </w:p>
    <w:p>
      <w:pPr>
        <w:pStyle w:val="98"/>
        <w:numPr>
          <w:ilvl w:val="0"/>
          <w:numId w:val="12"/>
        </w:numPr>
        <w:tabs>
          <w:tab w:val="clear" w:pos="1304"/>
        </w:tabs>
        <w:ind w:left="1701" w:hanging="1701"/>
        <w:rPr>
          <w:rFonts w:ascii="Times New Roman" w:hAnsi="Times New Roman" w:eastAsia="宋体"/>
        </w:rPr>
      </w:pPr>
      <w:r>
        <w:rPr>
          <w:rFonts w:ascii="Times New Roman" w:hAnsi="Times New Roman" w:eastAsia="宋体"/>
        </w:rPr>
        <w:t xml:space="preserve">Legacy UE uses the information broadcast by mobile IAB to decide to reselect to the mobile IAB cell </w:t>
      </w:r>
    </w:p>
    <w:p>
      <w:pPr>
        <w:pStyle w:val="98"/>
        <w:numPr>
          <w:ilvl w:val="0"/>
          <w:numId w:val="12"/>
        </w:numPr>
        <w:tabs>
          <w:tab w:val="clear" w:pos="1304"/>
        </w:tabs>
        <w:ind w:left="1701" w:hanging="1701"/>
        <w:rPr>
          <w:rFonts w:ascii="Times New Roman" w:hAnsi="Times New Roman" w:eastAsia="宋体"/>
        </w:rPr>
      </w:pPr>
      <w:r>
        <w:rPr>
          <w:rFonts w:ascii="Times New Roman" w:hAnsi="Times New Roman" w:eastAsia="宋体"/>
        </w:rPr>
        <w:t>Release 17 slice aware cell reselection mechanism is reused as baseline for UE reselection to/from a mobile IAB cell.</w:t>
      </w:r>
    </w:p>
    <w:p>
      <w:pPr>
        <w:pStyle w:val="98"/>
        <w:numPr>
          <w:ilvl w:val="0"/>
          <w:numId w:val="12"/>
        </w:numPr>
        <w:tabs>
          <w:tab w:val="clear" w:pos="1304"/>
        </w:tabs>
        <w:ind w:left="1701" w:hanging="1701"/>
        <w:rPr>
          <w:rFonts w:ascii="Times New Roman" w:hAnsi="Times New Roman" w:eastAsia="宋体"/>
        </w:rPr>
      </w:pPr>
      <w:r>
        <w:rPr>
          <w:rFonts w:ascii="Times New Roman" w:hAnsi="Times New Roman" w:eastAsia="宋体"/>
        </w:rPr>
        <w:t>PCI management to have separate set of PCIs using PCI partitioning: one set for mobile IAB cell and one set for non-moving cell is sufficient to resolve potential PCI collision between mobile IAB cell and stationary cell along mobile IAB route.</w:t>
      </w:r>
    </w:p>
    <w:p>
      <w:pPr>
        <w:pStyle w:val="3"/>
        <w:ind w:left="1440" w:hanging="1440"/>
        <w:rPr>
          <w:rFonts w:eastAsia="宋体"/>
          <w:b/>
          <w:lang w:eastAsia="zh-CN"/>
        </w:rPr>
      </w:pP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pPr>
        <w:numPr>
          <w:ilvl w:val="0"/>
          <w:numId w:val="13"/>
        </w:numPr>
        <w:rPr>
          <w:rFonts w:eastAsia="宋体"/>
          <w:color w:val="000000"/>
          <w:lang w:val="en-GB" w:eastAsia="ja-JP"/>
        </w:rPr>
      </w:pPr>
      <w:r>
        <w:t>RP-221815</w:t>
      </w:r>
      <w:r>
        <w:rPr>
          <w:rFonts w:eastAsia="宋体"/>
          <w:color w:val="000000"/>
          <w:lang w:eastAsia="zh-CN"/>
        </w:rPr>
        <w:t>,</w:t>
      </w:r>
      <w:r>
        <w:rPr>
          <w:rFonts w:hint="eastAsia" w:eastAsia="宋体"/>
          <w:color w:val="000000"/>
          <w:lang w:eastAsia="zh-CN"/>
        </w:rPr>
        <w:t xml:space="preserve"> </w:t>
      </w:r>
      <w:r>
        <w:rPr>
          <w:rFonts w:eastAsia="宋体"/>
          <w:color w:val="000000"/>
          <w:lang w:eastAsia="zh-CN"/>
        </w:rPr>
        <w:t>Mobile IAB (Integrated Access and Backhaul) for NR</w:t>
      </w: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ymbol">
    <w:panose1 w:val="05050102010706020507"/>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lvlText w:val="Proposal %1"/>
      <w:lvlJc w:val="left"/>
      <w:pPr>
        <w:tabs>
          <w:tab w:val="left" w:pos="1304"/>
        </w:tabs>
        <w:ind w:left="130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40DE34BC"/>
    <w:multiLevelType w:val="singleLevel"/>
    <w:tmpl w:val="40DE34BC"/>
    <w:lvl w:ilvl="0" w:tentative="0">
      <w:start w:val="1"/>
      <w:numFmt w:val="decimal"/>
      <w:pStyle w:val="60"/>
      <w:lvlText w:val="%1."/>
      <w:lvlJc w:val="left"/>
      <w:pPr>
        <w:tabs>
          <w:tab w:val="left" w:pos="360"/>
        </w:tabs>
        <w:ind w:left="360" w:hanging="360"/>
      </w:pPr>
    </w:lvl>
  </w:abstractNum>
  <w:abstractNum w:abstractNumId="2">
    <w:nsid w:val="465A3822"/>
    <w:multiLevelType w:val="multilevel"/>
    <w:tmpl w:val="465A3822"/>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B716D27"/>
    <w:multiLevelType w:val="multilevel"/>
    <w:tmpl w:val="4B716D27"/>
    <w:lvl w:ilvl="0" w:tentative="0">
      <w:start w:val="1"/>
      <w:numFmt w:val="decimal"/>
      <w:lvlText w:val="Observation %1"/>
      <w:lvlJc w:val="left"/>
      <w:pPr>
        <w:ind w:left="990" w:hanging="360"/>
      </w:pPr>
      <w:rPr>
        <w:rFonts w:hint="default" w:ascii="Times New Roman" w:hAnsi="Times New Roman" w:cs="Times New Roman"/>
        <w:sz w:val="20"/>
        <w:szCs w:val="20"/>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Letter"/>
      <w:lvlText w:val="%3)"/>
      <w:lvlJc w:val="lef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4">
    <w:nsid w:val="4BDF65F6"/>
    <w:multiLevelType w:val="multilevel"/>
    <w:tmpl w:val="4BDF65F6"/>
    <w:lvl w:ilvl="0" w:tentative="0">
      <w:start w:val="1"/>
      <w:numFmt w:val="decimal"/>
      <w:pStyle w:val="9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6815BE2"/>
    <w:multiLevelType w:val="multilevel"/>
    <w:tmpl w:val="56815BE2"/>
    <w:lvl w:ilvl="0" w:tentative="0">
      <w:start w:val="1"/>
      <w:numFmt w:val="decimal"/>
      <w:pStyle w:val="5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13A372B"/>
    <w:multiLevelType w:val="multilevel"/>
    <w:tmpl w:val="613A372B"/>
    <w:lvl w:ilvl="0" w:tentative="0">
      <w:start w:val="0"/>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662019B"/>
    <w:multiLevelType w:val="multilevel"/>
    <w:tmpl w:val="6662019B"/>
    <w:lvl w:ilvl="0" w:tentative="0">
      <w:start w:val="1"/>
      <w:numFmt w:val="decimal"/>
      <w:lvlText w:val="Observation %1"/>
      <w:lvlJc w:val="left"/>
      <w:pPr>
        <w:ind w:left="990" w:hanging="360"/>
      </w:pPr>
      <w:rPr>
        <w:rFonts w:hint="default" w:ascii="Times New Roman" w:hAnsi="Times New Roman" w:cs="Times New Roman"/>
        <w:sz w:val="20"/>
        <w:szCs w:val="20"/>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Letter"/>
      <w:lvlText w:val="%3)"/>
      <w:lvlJc w:val="lef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8">
    <w:nsid w:val="682E0263"/>
    <w:multiLevelType w:val="multilevel"/>
    <w:tmpl w:val="682E0263"/>
    <w:lvl w:ilvl="0" w:tentative="0">
      <w:start w:val="1"/>
      <w:numFmt w:val="decimal"/>
      <w:lvlText w:val="Proposal %1"/>
      <w:lvlJc w:val="left"/>
      <w:pPr>
        <w:tabs>
          <w:tab w:val="left" w:pos="2024"/>
        </w:tabs>
        <w:ind w:left="202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9">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0">
    <w:nsid w:val="70146DC0"/>
    <w:multiLevelType w:val="multilevel"/>
    <w:tmpl w:val="70146DC0"/>
    <w:lvl w:ilvl="0" w:tentative="0">
      <w:start w:val="1"/>
      <w:numFmt w:val="bullet"/>
      <w:pStyle w:val="102"/>
      <w:lvlText w:val=""/>
      <w:lvlJc w:val="left"/>
      <w:pPr>
        <w:tabs>
          <w:tab w:val="left" w:pos="2250"/>
        </w:tabs>
        <w:ind w:left="225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36D6E2A"/>
    <w:multiLevelType w:val="multilevel"/>
    <w:tmpl w:val="736D6E2A"/>
    <w:lvl w:ilvl="0" w:tentative="0">
      <w:start w:val="1"/>
      <w:numFmt w:val="decimal"/>
      <w:pStyle w:val="29"/>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5"/>
  </w:num>
  <w:num w:numId="3">
    <w:abstractNumId w:val="1"/>
  </w:num>
  <w:num w:numId="4">
    <w:abstractNumId w:val="4"/>
  </w:num>
  <w:num w:numId="5">
    <w:abstractNumId w:val="10"/>
  </w:num>
  <w:num w:numId="6">
    <w:abstractNumId w:val="9"/>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8"/>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0FAPghCnA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ED"/>
    <w:rsid w:val="00011FFB"/>
    <w:rsid w:val="00012414"/>
    <w:rsid w:val="000124C4"/>
    <w:rsid w:val="000126F3"/>
    <w:rsid w:val="000127A7"/>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794"/>
    <w:rsid w:val="000369EE"/>
    <w:rsid w:val="00036C40"/>
    <w:rsid w:val="00036CBB"/>
    <w:rsid w:val="0003772C"/>
    <w:rsid w:val="000377D4"/>
    <w:rsid w:val="00037A41"/>
    <w:rsid w:val="00037AA3"/>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995"/>
    <w:rsid w:val="00047D75"/>
    <w:rsid w:val="000503BF"/>
    <w:rsid w:val="00050715"/>
    <w:rsid w:val="0005078C"/>
    <w:rsid w:val="00050B92"/>
    <w:rsid w:val="00050D4B"/>
    <w:rsid w:val="000510FE"/>
    <w:rsid w:val="000517C0"/>
    <w:rsid w:val="00051C37"/>
    <w:rsid w:val="000520C7"/>
    <w:rsid w:val="0005214F"/>
    <w:rsid w:val="00052966"/>
    <w:rsid w:val="00053004"/>
    <w:rsid w:val="000534A1"/>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511"/>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222"/>
    <w:rsid w:val="000A18F9"/>
    <w:rsid w:val="000A1A4E"/>
    <w:rsid w:val="000A1BC9"/>
    <w:rsid w:val="000A2083"/>
    <w:rsid w:val="000A2B56"/>
    <w:rsid w:val="000A2BFF"/>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A6D0F"/>
    <w:rsid w:val="000B0969"/>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3A"/>
    <w:rsid w:val="000C0DE3"/>
    <w:rsid w:val="000C1001"/>
    <w:rsid w:val="000C12BA"/>
    <w:rsid w:val="000C1B5F"/>
    <w:rsid w:val="000C1D91"/>
    <w:rsid w:val="000C2208"/>
    <w:rsid w:val="000C2567"/>
    <w:rsid w:val="000C256E"/>
    <w:rsid w:val="000C25E0"/>
    <w:rsid w:val="000C2FA3"/>
    <w:rsid w:val="000C3170"/>
    <w:rsid w:val="000C31B8"/>
    <w:rsid w:val="000C345D"/>
    <w:rsid w:val="000C3B16"/>
    <w:rsid w:val="000C3CFF"/>
    <w:rsid w:val="000C472E"/>
    <w:rsid w:val="000C4D73"/>
    <w:rsid w:val="000C4D87"/>
    <w:rsid w:val="000C515A"/>
    <w:rsid w:val="000C6024"/>
    <w:rsid w:val="000C6385"/>
    <w:rsid w:val="000C6AD0"/>
    <w:rsid w:val="000C73A4"/>
    <w:rsid w:val="000D08CB"/>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8CC"/>
    <w:rsid w:val="00120A72"/>
    <w:rsid w:val="00121651"/>
    <w:rsid w:val="001216B6"/>
    <w:rsid w:val="00121DA2"/>
    <w:rsid w:val="00121F6C"/>
    <w:rsid w:val="00122469"/>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FF4"/>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6FF0"/>
    <w:rsid w:val="001B7010"/>
    <w:rsid w:val="001B7323"/>
    <w:rsid w:val="001B7370"/>
    <w:rsid w:val="001B7378"/>
    <w:rsid w:val="001B749D"/>
    <w:rsid w:val="001B7906"/>
    <w:rsid w:val="001C00BD"/>
    <w:rsid w:val="001C01B7"/>
    <w:rsid w:val="001C0A2A"/>
    <w:rsid w:val="001C0B27"/>
    <w:rsid w:val="001C0BC4"/>
    <w:rsid w:val="001C1A97"/>
    <w:rsid w:val="001C235F"/>
    <w:rsid w:val="001C2710"/>
    <w:rsid w:val="001C354A"/>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0CF3"/>
    <w:rsid w:val="00201137"/>
    <w:rsid w:val="00201211"/>
    <w:rsid w:val="002017E2"/>
    <w:rsid w:val="00201D35"/>
    <w:rsid w:val="0020210B"/>
    <w:rsid w:val="002021E9"/>
    <w:rsid w:val="002021EF"/>
    <w:rsid w:val="0020252D"/>
    <w:rsid w:val="00202F18"/>
    <w:rsid w:val="00202F59"/>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A17"/>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5AC0"/>
    <w:rsid w:val="00216096"/>
    <w:rsid w:val="0021696C"/>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82"/>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2E79"/>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4E5"/>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6873"/>
    <w:rsid w:val="00277A04"/>
    <w:rsid w:val="00277C3F"/>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9EC"/>
    <w:rsid w:val="00295B3F"/>
    <w:rsid w:val="00296077"/>
    <w:rsid w:val="002972F0"/>
    <w:rsid w:val="00297314"/>
    <w:rsid w:val="002974BF"/>
    <w:rsid w:val="00297663"/>
    <w:rsid w:val="00297D26"/>
    <w:rsid w:val="002A0101"/>
    <w:rsid w:val="002A0464"/>
    <w:rsid w:val="002A04D2"/>
    <w:rsid w:val="002A0A43"/>
    <w:rsid w:val="002A0E29"/>
    <w:rsid w:val="002A0EC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049"/>
    <w:rsid w:val="002C5BBA"/>
    <w:rsid w:val="002C5D62"/>
    <w:rsid w:val="002C6104"/>
    <w:rsid w:val="002C6318"/>
    <w:rsid w:val="002C6675"/>
    <w:rsid w:val="002C6865"/>
    <w:rsid w:val="002C6DF7"/>
    <w:rsid w:val="002C7649"/>
    <w:rsid w:val="002C774A"/>
    <w:rsid w:val="002C7B96"/>
    <w:rsid w:val="002D06D6"/>
    <w:rsid w:val="002D078F"/>
    <w:rsid w:val="002D15A9"/>
    <w:rsid w:val="002D16FF"/>
    <w:rsid w:val="002D17AB"/>
    <w:rsid w:val="002D2279"/>
    <w:rsid w:val="002D22AA"/>
    <w:rsid w:val="002D2519"/>
    <w:rsid w:val="002D2AA1"/>
    <w:rsid w:val="002D2B65"/>
    <w:rsid w:val="002D2F94"/>
    <w:rsid w:val="002D377B"/>
    <w:rsid w:val="002D3B33"/>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3EE0"/>
    <w:rsid w:val="002E4D1F"/>
    <w:rsid w:val="002E508A"/>
    <w:rsid w:val="002E56EC"/>
    <w:rsid w:val="002E5874"/>
    <w:rsid w:val="002E58E0"/>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0D83"/>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6C2"/>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28F"/>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1D8"/>
    <w:rsid w:val="00344539"/>
    <w:rsid w:val="003449A4"/>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12D"/>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6615"/>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343B"/>
    <w:rsid w:val="00363552"/>
    <w:rsid w:val="003639D5"/>
    <w:rsid w:val="00363A13"/>
    <w:rsid w:val="003646E6"/>
    <w:rsid w:val="003647DD"/>
    <w:rsid w:val="00364A41"/>
    <w:rsid w:val="00365340"/>
    <w:rsid w:val="0036569E"/>
    <w:rsid w:val="00365882"/>
    <w:rsid w:val="00366731"/>
    <w:rsid w:val="00366D27"/>
    <w:rsid w:val="00367E11"/>
    <w:rsid w:val="0037093A"/>
    <w:rsid w:val="00370C1B"/>
    <w:rsid w:val="00370D82"/>
    <w:rsid w:val="00371114"/>
    <w:rsid w:val="0037196E"/>
    <w:rsid w:val="00371D3F"/>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D4F"/>
    <w:rsid w:val="00375ED2"/>
    <w:rsid w:val="003761EB"/>
    <w:rsid w:val="0037711F"/>
    <w:rsid w:val="003771A5"/>
    <w:rsid w:val="00377CDF"/>
    <w:rsid w:val="003810B1"/>
    <w:rsid w:val="0038176D"/>
    <w:rsid w:val="003817C3"/>
    <w:rsid w:val="003820D5"/>
    <w:rsid w:val="00382341"/>
    <w:rsid w:val="00382699"/>
    <w:rsid w:val="00382EEB"/>
    <w:rsid w:val="003835FA"/>
    <w:rsid w:val="00384388"/>
    <w:rsid w:val="003845E9"/>
    <w:rsid w:val="00384660"/>
    <w:rsid w:val="00384CFE"/>
    <w:rsid w:val="0038586D"/>
    <w:rsid w:val="00385C9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17B"/>
    <w:rsid w:val="003973C4"/>
    <w:rsid w:val="0039779E"/>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C76"/>
    <w:rsid w:val="003B2F65"/>
    <w:rsid w:val="003B3748"/>
    <w:rsid w:val="003B3977"/>
    <w:rsid w:val="003B3AB5"/>
    <w:rsid w:val="003B3CEC"/>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35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296D"/>
    <w:rsid w:val="00412A5D"/>
    <w:rsid w:val="00413096"/>
    <w:rsid w:val="0041344F"/>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8F7"/>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DFC"/>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3DDF"/>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616"/>
    <w:rsid w:val="0048097C"/>
    <w:rsid w:val="00480BFA"/>
    <w:rsid w:val="00480DC5"/>
    <w:rsid w:val="0048149D"/>
    <w:rsid w:val="0048152B"/>
    <w:rsid w:val="004821BD"/>
    <w:rsid w:val="00482AA0"/>
    <w:rsid w:val="00482E5C"/>
    <w:rsid w:val="004830D5"/>
    <w:rsid w:val="00483288"/>
    <w:rsid w:val="00483752"/>
    <w:rsid w:val="004837A8"/>
    <w:rsid w:val="00483B06"/>
    <w:rsid w:val="00483CBD"/>
    <w:rsid w:val="00484197"/>
    <w:rsid w:val="00484C80"/>
    <w:rsid w:val="00484F97"/>
    <w:rsid w:val="0048510D"/>
    <w:rsid w:val="00485274"/>
    <w:rsid w:val="00485EF7"/>
    <w:rsid w:val="00485F31"/>
    <w:rsid w:val="004860A9"/>
    <w:rsid w:val="004866B4"/>
    <w:rsid w:val="00486923"/>
    <w:rsid w:val="004871A0"/>
    <w:rsid w:val="00487200"/>
    <w:rsid w:val="00487475"/>
    <w:rsid w:val="0048750C"/>
    <w:rsid w:val="00487733"/>
    <w:rsid w:val="004879FD"/>
    <w:rsid w:val="00490021"/>
    <w:rsid w:val="0049009D"/>
    <w:rsid w:val="004900BE"/>
    <w:rsid w:val="00490991"/>
    <w:rsid w:val="00490C33"/>
    <w:rsid w:val="00490E14"/>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6A73"/>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A35"/>
    <w:rsid w:val="004B1FE6"/>
    <w:rsid w:val="004B2056"/>
    <w:rsid w:val="004B2409"/>
    <w:rsid w:val="004B24E2"/>
    <w:rsid w:val="004B296B"/>
    <w:rsid w:val="004B3124"/>
    <w:rsid w:val="004B3153"/>
    <w:rsid w:val="004B31D0"/>
    <w:rsid w:val="004B3762"/>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284"/>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3EF9"/>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8A2"/>
    <w:rsid w:val="004F2ECB"/>
    <w:rsid w:val="004F3053"/>
    <w:rsid w:val="004F3085"/>
    <w:rsid w:val="004F319F"/>
    <w:rsid w:val="004F328A"/>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076"/>
    <w:rsid w:val="00507252"/>
    <w:rsid w:val="005076E8"/>
    <w:rsid w:val="005079D8"/>
    <w:rsid w:val="0051003E"/>
    <w:rsid w:val="00510155"/>
    <w:rsid w:val="005101F5"/>
    <w:rsid w:val="00511013"/>
    <w:rsid w:val="00511417"/>
    <w:rsid w:val="00511E27"/>
    <w:rsid w:val="00512580"/>
    <w:rsid w:val="00512695"/>
    <w:rsid w:val="00512D9C"/>
    <w:rsid w:val="005135F6"/>
    <w:rsid w:val="0051398C"/>
    <w:rsid w:val="00513C97"/>
    <w:rsid w:val="005140D9"/>
    <w:rsid w:val="005141DF"/>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2A"/>
    <w:rsid w:val="005264DA"/>
    <w:rsid w:val="00526A86"/>
    <w:rsid w:val="00526ADD"/>
    <w:rsid w:val="00526DD2"/>
    <w:rsid w:val="005270AA"/>
    <w:rsid w:val="0052745F"/>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83C"/>
    <w:rsid w:val="00536B5C"/>
    <w:rsid w:val="0053711E"/>
    <w:rsid w:val="00537131"/>
    <w:rsid w:val="005371B8"/>
    <w:rsid w:val="00537A86"/>
    <w:rsid w:val="00537D44"/>
    <w:rsid w:val="005402E2"/>
    <w:rsid w:val="0054083E"/>
    <w:rsid w:val="00540C91"/>
    <w:rsid w:val="00540EDF"/>
    <w:rsid w:val="0054100F"/>
    <w:rsid w:val="00542408"/>
    <w:rsid w:val="0054288C"/>
    <w:rsid w:val="00542D35"/>
    <w:rsid w:val="00542EBB"/>
    <w:rsid w:val="0054319A"/>
    <w:rsid w:val="00543212"/>
    <w:rsid w:val="0054367B"/>
    <w:rsid w:val="00543809"/>
    <w:rsid w:val="00543B88"/>
    <w:rsid w:val="00543C53"/>
    <w:rsid w:val="00543ED2"/>
    <w:rsid w:val="00544903"/>
    <w:rsid w:val="00544F2D"/>
    <w:rsid w:val="00544FC5"/>
    <w:rsid w:val="00545EC5"/>
    <w:rsid w:val="00546680"/>
    <w:rsid w:val="00546CB6"/>
    <w:rsid w:val="005471BF"/>
    <w:rsid w:val="005472A9"/>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210C"/>
    <w:rsid w:val="0056254F"/>
    <w:rsid w:val="005630B7"/>
    <w:rsid w:val="00563516"/>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2CD8"/>
    <w:rsid w:val="005732D1"/>
    <w:rsid w:val="005736E0"/>
    <w:rsid w:val="00574007"/>
    <w:rsid w:val="0057465B"/>
    <w:rsid w:val="0057486B"/>
    <w:rsid w:val="005753FE"/>
    <w:rsid w:val="00575674"/>
    <w:rsid w:val="0057581E"/>
    <w:rsid w:val="00575C3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0FFB"/>
    <w:rsid w:val="00591FF0"/>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A13"/>
    <w:rsid w:val="00597B8A"/>
    <w:rsid w:val="00597E79"/>
    <w:rsid w:val="00597ED0"/>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42"/>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77E"/>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BF6"/>
    <w:rsid w:val="005F0EA7"/>
    <w:rsid w:val="005F0F5F"/>
    <w:rsid w:val="005F184F"/>
    <w:rsid w:val="005F1B1A"/>
    <w:rsid w:val="005F2513"/>
    <w:rsid w:val="005F2D82"/>
    <w:rsid w:val="005F2ED3"/>
    <w:rsid w:val="005F2F80"/>
    <w:rsid w:val="005F3E9E"/>
    <w:rsid w:val="005F40AA"/>
    <w:rsid w:val="005F4664"/>
    <w:rsid w:val="005F478F"/>
    <w:rsid w:val="005F4CDA"/>
    <w:rsid w:val="005F5147"/>
    <w:rsid w:val="005F521A"/>
    <w:rsid w:val="005F53C3"/>
    <w:rsid w:val="005F55FC"/>
    <w:rsid w:val="005F592F"/>
    <w:rsid w:val="005F5EFB"/>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C2C"/>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B00"/>
    <w:rsid w:val="00637B46"/>
    <w:rsid w:val="00637F9A"/>
    <w:rsid w:val="00637FB3"/>
    <w:rsid w:val="00640177"/>
    <w:rsid w:val="00640A0F"/>
    <w:rsid w:val="00641925"/>
    <w:rsid w:val="00641926"/>
    <w:rsid w:val="00641CA2"/>
    <w:rsid w:val="00641EEC"/>
    <w:rsid w:val="00642285"/>
    <w:rsid w:val="006429D8"/>
    <w:rsid w:val="006433B8"/>
    <w:rsid w:val="00643545"/>
    <w:rsid w:val="006437FA"/>
    <w:rsid w:val="00643826"/>
    <w:rsid w:val="00643A26"/>
    <w:rsid w:val="00643A31"/>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647"/>
    <w:rsid w:val="006569D4"/>
    <w:rsid w:val="00656D1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ACD"/>
    <w:rsid w:val="00694D5C"/>
    <w:rsid w:val="00694DA3"/>
    <w:rsid w:val="00694F03"/>
    <w:rsid w:val="00694F8C"/>
    <w:rsid w:val="0069501D"/>
    <w:rsid w:val="006960F5"/>
    <w:rsid w:val="00696843"/>
    <w:rsid w:val="00696A75"/>
    <w:rsid w:val="00696B5D"/>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14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C00B3"/>
    <w:rsid w:val="006C087D"/>
    <w:rsid w:val="006C0A56"/>
    <w:rsid w:val="006C0E04"/>
    <w:rsid w:val="006C0F64"/>
    <w:rsid w:val="006C12B2"/>
    <w:rsid w:val="006C142E"/>
    <w:rsid w:val="006C1F22"/>
    <w:rsid w:val="006C1F58"/>
    <w:rsid w:val="006C29CE"/>
    <w:rsid w:val="006C3100"/>
    <w:rsid w:val="006C31C2"/>
    <w:rsid w:val="006C3673"/>
    <w:rsid w:val="006C387D"/>
    <w:rsid w:val="006C3B7A"/>
    <w:rsid w:val="006C3D77"/>
    <w:rsid w:val="006C400E"/>
    <w:rsid w:val="006C632F"/>
    <w:rsid w:val="006C65E2"/>
    <w:rsid w:val="006C6B7C"/>
    <w:rsid w:val="006C6DFE"/>
    <w:rsid w:val="006C6EB3"/>
    <w:rsid w:val="006C703C"/>
    <w:rsid w:val="006C7318"/>
    <w:rsid w:val="006C7F83"/>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410"/>
    <w:rsid w:val="00701502"/>
    <w:rsid w:val="007016C4"/>
    <w:rsid w:val="00701A1E"/>
    <w:rsid w:val="00701BF3"/>
    <w:rsid w:val="007020AC"/>
    <w:rsid w:val="007022B6"/>
    <w:rsid w:val="0070248D"/>
    <w:rsid w:val="00702BBF"/>
    <w:rsid w:val="00702DB9"/>
    <w:rsid w:val="00702EF2"/>
    <w:rsid w:val="00702F01"/>
    <w:rsid w:val="0070323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486"/>
    <w:rsid w:val="00713D36"/>
    <w:rsid w:val="00714769"/>
    <w:rsid w:val="00715965"/>
    <w:rsid w:val="007159A6"/>
    <w:rsid w:val="0071617F"/>
    <w:rsid w:val="007161A2"/>
    <w:rsid w:val="00716D1E"/>
    <w:rsid w:val="00716D5F"/>
    <w:rsid w:val="0071761A"/>
    <w:rsid w:val="007178C3"/>
    <w:rsid w:val="00717988"/>
    <w:rsid w:val="0071798B"/>
    <w:rsid w:val="00721024"/>
    <w:rsid w:val="00721348"/>
    <w:rsid w:val="0072150D"/>
    <w:rsid w:val="007229CE"/>
    <w:rsid w:val="00722B8A"/>
    <w:rsid w:val="00722C37"/>
    <w:rsid w:val="00722DDC"/>
    <w:rsid w:val="0072338F"/>
    <w:rsid w:val="007234BF"/>
    <w:rsid w:val="00723E3D"/>
    <w:rsid w:val="00724A52"/>
    <w:rsid w:val="00724BD7"/>
    <w:rsid w:val="00725667"/>
    <w:rsid w:val="00725AA2"/>
    <w:rsid w:val="00726066"/>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4FF8"/>
    <w:rsid w:val="00785015"/>
    <w:rsid w:val="007857B0"/>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5E42"/>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D51"/>
    <w:rsid w:val="007F2780"/>
    <w:rsid w:val="007F304B"/>
    <w:rsid w:val="007F39CE"/>
    <w:rsid w:val="007F3ACC"/>
    <w:rsid w:val="007F3DC9"/>
    <w:rsid w:val="007F3F4D"/>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57C"/>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20247"/>
    <w:rsid w:val="0082116A"/>
    <w:rsid w:val="00821622"/>
    <w:rsid w:val="0082165F"/>
    <w:rsid w:val="0082176A"/>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E2"/>
    <w:rsid w:val="00827DF7"/>
    <w:rsid w:val="008306D9"/>
    <w:rsid w:val="0083072B"/>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A62"/>
    <w:rsid w:val="00834CC3"/>
    <w:rsid w:val="00835754"/>
    <w:rsid w:val="00835965"/>
    <w:rsid w:val="008361E4"/>
    <w:rsid w:val="00836332"/>
    <w:rsid w:val="00836757"/>
    <w:rsid w:val="00836B10"/>
    <w:rsid w:val="00836DA8"/>
    <w:rsid w:val="00836EE6"/>
    <w:rsid w:val="00837D7E"/>
    <w:rsid w:val="00837D9C"/>
    <w:rsid w:val="00840019"/>
    <w:rsid w:val="00840ACA"/>
    <w:rsid w:val="008416C7"/>
    <w:rsid w:val="008416D9"/>
    <w:rsid w:val="0084189B"/>
    <w:rsid w:val="00841D5F"/>
    <w:rsid w:val="00841E16"/>
    <w:rsid w:val="00842153"/>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581"/>
    <w:rsid w:val="00852F0F"/>
    <w:rsid w:val="008531E9"/>
    <w:rsid w:val="0085392E"/>
    <w:rsid w:val="00853EFD"/>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17F"/>
    <w:rsid w:val="008611CD"/>
    <w:rsid w:val="008612AD"/>
    <w:rsid w:val="0086199A"/>
    <w:rsid w:val="00862602"/>
    <w:rsid w:val="008627E1"/>
    <w:rsid w:val="00862EEA"/>
    <w:rsid w:val="00862F19"/>
    <w:rsid w:val="00863044"/>
    <w:rsid w:val="00863362"/>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62B"/>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84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279"/>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7B0"/>
    <w:rsid w:val="008A2C7C"/>
    <w:rsid w:val="008A2FBA"/>
    <w:rsid w:val="008A3493"/>
    <w:rsid w:val="008A3614"/>
    <w:rsid w:val="008A385D"/>
    <w:rsid w:val="008A4040"/>
    <w:rsid w:val="008A48F4"/>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9D6"/>
    <w:rsid w:val="008B1B90"/>
    <w:rsid w:val="008B20B2"/>
    <w:rsid w:val="008B269F"/>
    <w:rsid w:val="008B2929"/>
    <w:rsid w:val="008B397D"/>
    <w:rsid w:val="008B3B1C"/>
    <w:rsid w:val="008B3BEB"/>
    <w:rsid w:val="008B3EF2"/>
    <w:rsid w:val="008B4865"/>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3CB0"/>
    <w:rsid w:val="008D4C85"/>
    <w:rsid w:val="008D4CD1"/>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B2D"/>
    <w:rsid w:val="008E1FE4"/>
    <w:rsid w:val="008E274C"/>
    <w:rsid w:val="008E2CD8"/>
    <w:rsid w:val="008E3217"/>
    <w:rsid w:val="008E336D"/>
    <w:rsid w:val="008E3405"/>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77B"/>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4D3F"/>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232"/>
    <w:rsid w:val="00936CD8"/>
    <w:rsid w:val="00936ED8"/>
    <w:rsid w:val="009370E1"/>
    <w:rsid w:val="009370FC"/>
    <w:rsid w:val="009372F7"/>
    <w:rsid w:val="009375DD"/>
    <w:rsid w:val="00937C62"/>
    <w:rsid w:val="0094033F"/>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C41"/>
    <w:rsid w:val="00963E89"/>
    <w:rsid w:val="0096408F"/>
    <w:rsid w:val="00964425"/>
    <w:rsid w:val="009646D2"/>
    <w:rsid w:val="00964AA5"/>
    <w:rsid w:val="00965DA7"/>
    <w:rsid w:val="00965E56"/>
    <w:rsid w:val="00965F20"/>
    <w:rsid w:val="00966232"/>
    <w:rsid w:val="009664C7"/>
    <w:rsid w:val="00967CA0"/>
    <w:rsid w:val="00970364"/>
    <w:rsid w:val="0097047F"/>
    <w:rsid w:val="00970B94"/>
    <w:rsid w:val="00970D4B"/>
    <w:rsid w:val="00970F83"/>
    <w:rsid w:val="0097177B"/>
    <w:rsid w:val="00971A3E"/>
    <w:rsid w:val="00971DB8"/>
    <w:rsid w:val="00972435"/>
    <w:rsid w:val="00972A71"/>
    <w:rsid w:val="009732AB"/>
    <w:rsid w:val="0097338C"/>
    <w:rsid w:val="00973F9D"/>
    <w:rsid w:val="00975880"/>
    <w:rsid w:val="00975C6D"/>
    <w:rsid w:val="00976185"/>
    <w:rsid w:val="0097719C"/>
    <w:rsid w:val="00977CE8"/>
    <w:rsid w:val="00977D86"/>
    <w:rsid w:val="009801B6"/>
    <w:rsid w:val="00980FD5"/>
    <w:rsid w:val="009814BA"/>
    <w:rsid w:val="009814CC"/>
    <w:rsid w:val="00981964"/>
    <w:rsid w:val="00981B3B"/>
    <w:rsid w:val="00981DF3"/>
    <w:rsid w:val="009823AB"/>
    <w:rsid w:val="0098247E"/>
    <w:rsid w:val="0098254A"/>
    <w:rsid w:val="00982786"/>
    <w:rsid w:val="00982AAE"/>
    <w:rsid w:val="00982BE2"/>
    <w:rsid w:val="00982C3A"/>
    <w:rsid w:val="00982DDE"/>
    <w:rsid w:val="00982EED"/>
    <w:rsid w:val="0098327C"/>
    <w:rsid w:val="009832C1"/>
    <w:rsid w:val="009836AF"/>
    <w:rsid w:val="009844FF"/>
    <w:rsid w:val="009845A3"/>
    <w:rsid w:val="009848A7"/>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341"/>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112"/>
    <w:rsid w:val="009B7575"/>
    <w:rsid w:val="009B7711"/>
    <w:rsid w:val="009C000B"/>
    <w:rsid w:val="009C0097"/>
    <w:rsid w:val="009C0C35"/>
    <w:rsid w:val="009C1262"/>
    <w:rsid w:val="009C1B7D"/>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01A"/>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E62"/>
    <w:rsid w:val="009D3EF2"/>
    <w:rsid w:val="009D4132"/>
    <w:rsid w:val="009D48DA"/>
    <w:rsid w:val="009D5D3A"/>
    <w:rsid w:val="009D66E2"/>
    <w:rsid w:val="009D71D0"/>
    <w:rsid w:val="009D75B8"/>
    <w:rsid w:val="009E03C9"/>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07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0A1C"/>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14B"/>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B30"/>
    <w:rsid w:val="00A44108"/>
    <w:rsid w:val="00A4477A"/>
    <w:rsid w:val="00A44993"/>
    <w:rsid w:val="00A457E1"/>
    <w:rsid w:val="00A45A9C"/>
    <w:rsid w:val="00A45B6E"/>
    <w:rsid w:val="00A45D21"/>
    <w:rsid w:val="00A45D6B"/>
    <w:rsid w:val="00A46255"/>
    <w:rsid w:val="00A466FB"/>
    <w:rsid w:val="00A46765"/>
    <w:rsid w:val="00A47672"/>
    <w:rsid w:val="00A4777A"/>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B07"/>
    <w:rsid w:val="00A56166"/>
    <w:rsid w:val="00A56D6B"/>
    <w:rsid w:val="00A56DC5"/>
    <w:rsid w:val="00A57FF7"/>
    <w:rsid w:val="00A603FB"/>
    <w:rsid w:val="00A6042D"/>
    <w:rsid w:val="00A6062E"/>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6658"/>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20D6"/>
    <w:rsid w:val="00AA238E"/>
    <w:rsid w:val="00AA347A"/>
    <w:rsid w:val="00AA3947"/>
    <w:rsid w:val="00AA4604"/>
    <w:rsid w:val="00AA4960"/>
    <w:rsid w:val="00AA4D19"/>
    <w:rsid w:val="00AA4FC9"/>
    <w:rsid w:val="00AA54B6"/>
    <w:rsid w:val="00AA6941"/>
    <w:rsid w:val="00AA7114"/>
    <w:rsid w:val="00AA7343"/>
    <w:rsid w:val="00AA74E6"/>
    <w:rsid w:val="00AA774D"/>
    <w:rsid w:val="00AA781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D06"/>
    <w:rsid w:val="00AC3EFE"/>
    <w:rsid w:val="00AC41B2"/>
    <w:rsid w:val="00AC421B"/>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0F7"/>
    <w:rsid w:val="00AE0274"/>
    <w:rsid w:val="00AE04BC"/>
    <w:rsid w:val="00AE099F"/>
    <w:rsid w:val="00AE1403"/>
    <w:rsid w:val="00AE148B"/>
    <w:rsid w:val="00AE1EBD"/>
    <w:rsid w:val="00AE2001"/>
    <w:rsid w:val="00AE21B4"/>
    <w:rsid w:val="00AE246C"/>
    <w:rsid w:val="00AE25C6"/>
    <w:rsid w:val="00AE3A77"/>
    <w:rsid w:val="00AE3AC0"/>
    <w:rsid w:val="00AE4342"/>
    <w:rsid w:val="00AE45D9"/>
    <w:rsid w:val="00AE465E"/>
    <w:rsid w:val="00AE49C1"/>
    <w:rsid w:val="00AE4B48"/>
    <w:rsid w:val="00AE4C0A"/>
    <w:rsid w:val="00AE51CB"/>
    <w:rsid w:val="00AE53E7"/>
    <w:rsid w:val="00AE543D"/>
    <w:rsid w:val="00AE56A1"/>
    <w:rsid w:val="00AE586B"/>
    <w:rsid w:val="00AE5CB3"/>
    <w:rsid w:val="00AE5CC7"/>
    <w:rsid w:val="00AE6994"/>
    <w:rsid w:val="00AE70BE"/>
    <w:rsid w:val="00AE7664"/>
    <w:rsid w:val="00AE7B8B"/>
    <w:rsid w:val="00AE7BA7"/>
    <w:rsid w:val="00AE7C61"/>
    <w:rsid w:val="00AF042E"/>
    <w:rsid w:val="00AF0754"/>
    <w:rsid w:val="00AF08F9"/>
    <w:rsid w:val="00AF0DFB"/>
    <w:rsid w:val="00AF15B8"/>
    <w:rsid w:val="00AF16D1"/>
    <w:rsid w:val="00AF209F"/>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1"/>
    <w:rsid w:val="00B07356"/>
    <w:rsid w:val="00B113DD"/>
    <w:rsid w:val="00B11A1A"/>
    <w:rsid w:val="00B12315"/>
    <w:rsid w:val="00B12496"/>
    <w:rsid w:val="00B1252E"/>
    <w:rsid w:val="00B13315"/>
    <w:rsid w:val="00B1376C"/>
    <w:rsid w:val="00B13CEE"/>
    <w:rsid w:val="00B14C1A"/>
    <w:rsid w:val="00B14FDF"/>
    <w:rsid w:val="00B15097"/>
    <w:rsid w:val="00B1521D"/>
    <w:rsid w:val="00B15672"/>
    <w:rsid w:val="00B15B29"/>
    <w:rsid w:val="00B15B80"/>
    <w:rsid w:val="00B16993"/>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6BB"/>
    <w:rsid w:val="00B36CFB"/>
    <w:rsid w:val="00B3705D"/>
    <w:rsid w:val="00B37336"/>
    <w:rsid w:val="00B3750C"/>
    <w:rsid w:val="00B377BB"/>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FF8"/>
    <w:rsid w:val="00B5596B"/>
    <w:rsid w:val="00B55E70"/>
    <w:rsid w:val="00B55E7F"/>
    <w:rsid w:val="00B563A7"/>
    <w:rsid w:val="00B565CF"/>
    <w:rsid w:val="00B57477"/>
    <w:rsid w:val="00B574C7"/>
    <w:rsid w:val="00B57DCA"/>
    <w:rsid w:val="00B6000A"/>
    <w:rsid w:val="00B60118"/>
    <w:rsid w:val="00B61864"/>
    <w:rsid w:val="00B61DE8"/>
    <w:rsid w:val="00B61F86"/>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AED"/>
    <w:rsid w:val="00B73F2B"/>
    <w:rsid w:val="00B752D2"/>
    <w:rsid w:val="00B7547D"/>
    <w:rsid w:val="00B755E5"/>
    <w:rsid w:val="00B7595E"/>
    <w:rsid w:val="00B75A21"/>
    <w:rsid w:val="00B762C0"/>
    <w:rsid w:val="00B76977"/>
    <w:rsid w:val="00B76E45"/>
    <w:rsid w:val="00B7718E"/>
    <w:rsid w:val="00B80953"/>
    <w:rsid w:val="00B80AAC"/>
    <w:rsid w:val="00B80B0A"/>
    <w:rsid w:val="00B80C40"/>
    <w:rsid w:val="00B80E17"/>
    <w:rsid w:val="00B810B4"/>
    <w:rsid w:val="00B815C2"/>
    <w:rsid w:val="00B81A7D"/>
    <w:rsid w:val="00B81B31"/>
    <w:rsid w:val="00B81BE0"/>
    <w:rsid w:val="00B81F1C"/>
    <w:rsid w:val="00B8200A"/>
    <w:rsid w:val="00B8294F"/>
    <w:rsid w:val="00B8365A"/>
    <w:rsid w:val="00B8369D"/>
    <w:rsid w:val="00B838C6"/>
    <w:rsid w:val="00B83B4E"/>
    <w:rsid w:val="00B840D4"/>
    <w:rsid w:val="00B843B5"/>
    <w:rsid w:val="00B84A8E"/>
    <w:rsid w:val="00B84BD5"/>
    <w:rsid w:val="00B84C02"/>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83C"/>
    <w:rsid w:val="00B95EF4"/>
    <w:rsid w:val="00B96208"/>
    <w:rsid w:val="00B9648B"/>
    <w:rsid w:val="00B964A1"/>
    <w:rsid w:val="00B96935"/>
    <w:rsid w:val="00B96A37"/>
    <w:rsid w:val="00B96AC8"/>
    <w:rsid w:val="00B96AF1"/>
    <w:rsid w:val="00B96C9F"/>
    <w:rsid w:val="00B97164"/>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4D"/>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E32"/>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348"/>
    <w:rsid w:val="00C126B6"/>
    <w:rsid w:val="00C12734"/>
    <w:rsid w:val="00C12927"/>
    <w:rsid w:val="00C12949"/>
    <w:rsid w:val="00C1366B"/>
    <w:rsid w:val="00C136FA"/>
    <w:rsid w:val="00C13C4A"/>
    <w:rsid w:val="00C14CAB"/>
    <w:rsid w:val="00C156E3"/>
    <w:rsid w:val="00C15AA3"/>
    <w:rsid w:val="00C15B3E"/>
    <w:rsid w:val="00C15DE9"/>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789"/>
    <w:rsid w:val="00C73F99"/>
    <w:rsid w:val="00C74E10"/>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90955"/>
    <w:rsid w:val="00C913AC"/>
    <w:rsid w:val="00C918FD"/>
    <w:rsid w:val="00C91FEC"/>
    <w:rsid w:val="00C92255"/>
    <w:rsid w:val="00C922E5"/>
    <w:rsid w:val="00C92653"/>
    <w:rsid w:val="00C92EB2"/>
    <w:rsid w:val="00C93290"/>
    <w:rsid w:val="00C93A2E"/>
    <w:rsid w:val="00C93FF0"/>
    <w:rsid w:val="00C94DB9"/>
    <w:rsid w:val="00C9522B"/>
    <w:rsid w:val="00C95405"/>
    <w:rsid w:val="00C95D64"/>
    <w:rsid w:val="00C96004"/>
    <w:rsid w:val="00C96284"/>
    <w:rsid w:val="00C96DFB"/>
    <w:rsid w:val="00C97426"/>
    <w:rsid w:val="00CA01BA"/>
    <w:rsid w:val="00CA0C99"/>
    <w:rsid w:val="00CA0F79"/>
    <w:rsid w:val="00CA120F"/>
    <w:rsid w:val="00CA1620"/>
    <w:rsid w:val="00CA1C0E"/>
    <w:rsid w:val="00CA21D4"/>
    <w:rsid w:val="00CA2256"/>
    <w:rsid w:val="00CA2314"/>
    <w:rsid w:val="00CA28C8"/>
    <w:rsid w:val="00CA2922"/>
    <w:rsid w:val="00CA2AF3"/>
    <w:rsid w:val="00CA3622"/>
    <w:rsid w:val="00CA4385"/>
    <w:rsid w:val="00CA43C5"/>
    <w:rsid w:val="00CA43CA"/>
    <w:rsid w:val="00CA4564"/>
    <w:rsid w:val="00CA45B1"/>
    <w:rsid w:val="00CA4883"/>
    <w:rsid w:val="00CA49E0"/>
    <w:rsid w:val="00CA4E1C"/>
    <w:rsid w:val="00CA4FC2"/>
    <w:rsid w:val="00CA531A"/>
    <w:rsid w:val="00CA5398"/>
    <w:rsid w:val="00CA54D4"/>
    <w:rsid w:val="00CA599E"/>
    <w:rsid w:val="00CA5A78"/>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A60"/>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CA"/>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89"/>
    <w:rsid w:val="00D11A99"/>
    <w:rsid w:val="00D12318"/>
    <w:rsid w:val="00D1295E"/>
    <w:rsid w:val="00D12B40"/>
    <w:rsid w:val="00D12F51"/>
    <w:rsid w:val="00D130A5"/>
    <w:rsid w:val="00D13155"/>
    <w:rsid w:val="00D13350"/>
    <w:rsid w:val="00D13858"/>
    <w:rsid w:val="00D13A73"/>
    <w:rsid w:val="00D13C00"/>
    <w:rsid w:val="00D13D05"/>
    <w:rsid w:val="00D13D38"/>
    <w:rsid w:val="00D14735"/>
    <w:rsid w:val="00D1478F"/>
    <w:rsid w:val="00D147AC"/>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5E"/>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61"/>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0C2"/>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19CF"/>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5272"/>
    <w:rsid w:val="00E1606F"/>
    <w:rsid w:val="00E16307"/>
    <w:rsid w:val="00E16382"/>
    <w:rsid w:val="00E16FF8"/>
    <w:rsid w:val="00E17227"/>
    <w:rsid w:val="00E1726B"/>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4DF"/>
    <w:rsid w:val="00E25700"/>
    <w:rsid w:val="00E25B28"/>
    <w:rsid w:val="00E263BC"/>
    <w:rsid w:val="00E26569"/>
    <w:rsid w:val="00E265BD"/>
    <w:rsid w:val="00E26773"/>
    <w:rsid w:val="00E26915"/>
    <w:rsid w:val="00E26D52"/>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243"/>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382"/>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127"/>
    <w:rsid w:val="00EA23F4"/>
    <w:rsid w:val="00EA2697"/>
    <w:rsid w:val="00EA2981"/>
    <w:rsid w:val="00EA2AB4"/>
    <w:rsid w:val="00EA2B7A"/>
    <w:rsid w:val="00EA2F12"/>
    <w:rsid w:val="00EA358E"/>
    <w:rsid w:val="00EA3BA8"/>
    <w:rsid w:val="00EA459C"/>
    <w:rsid w:val="00EA5343"/>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5D3D"/>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38CF"/>
    <w:rsid w:val="00ED41D4"/>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575"/>
    <w:rsid w:val="00EE7D17"/>
    <w:rsid w:val="00EF019D"/>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15"/>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18D"/>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AF3"/>
    <w:rsid w:val="00F76BCC"/>
    <w:rsid w:val="00F77167"/>
    <w:rsid w:val="00F776E5"/>
    <w:rsid w:val="00F80204"/>
    <w:rsid w:val="00F80723"/>
    <w:rsid w:val="00F81119"/>
    <w:rsid w:val="00F8141B"/>
    <w:rsid w:val="00F81C53"/>
    <w:rsid w:val="00F81F49"/>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A0"/>
    <w:rsid w:val="00FA38F0"/>
    <w:rsid w:val="00FA3B09"/>
    <w:rsid w:val="00FA3C90"/>
    <w:rsid w:val="00FA476F"/>
    <w:rsid w:val="00FA4D58"/>
    <w:rsid w:val="00FA4EB5"/>
    <w:rsid w:val="00FA4F02"/>
    <w:rsid w:val="00FA4F5B"/>
    <w:rsid w:val="00FA5199"/>
    <w:rsid w:val="00FA564E"/>
    <w:rsid w:val="00FA5AB4"/>
    <w:rsid w:val="00FA5BCB"/>
    <w:rsid w:val="00FA602C"/>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225F"/>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6F8E"/>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3C81"/>
    <w:rsid w:val="00FD425B"/>
    <w:rsid w:val="00FD430A"/>
    <w:rsid w:val="00FD4A11"/>
    <w:rsid w:val="00FD4E1E"/>
    <w:rsid w:val="00FD5413"/>
    <w:rsid w:val="00FD5A70"/>
    <w:rsid w:val="00FD5BE3"/>
    <w:rsid w:val="00FD5D01"/>
    <w:rsid w:val="00FD5D3B"/>
    <w:rsid w:val="00FD6141"/>
    <w:rsid w:val="00FD6371"/>
    <w:rsid w:val="00FD6708"/>
    <w:rsid w:val="00FD717E"/>
    <w:rsid w:val="00FD75A5"/>
    <w:rsid w:val="00FE0346"/>
    <w:rsid w:val="00FE038E"/>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627B"/>
    <w:rsid w:val="00FF7514"/>
    <w:rsid w:val="00FF7E0D"/>
    <w:rsid w:val="02794E08"/>
    <w:rsid w:val="1D4250A2"/>
    <w:rsid w:val="26FA2DB6"/>
    <w:rsid w:val="2A1345F2"/>
    <w:rsid w:val="34B87558"/>
    <w:rsid w:val="38F008C8"/>
    <w:rsid w:val="4D2C03C9"/>
    <w:rsid w:val="51F72F60"/>
    <w:rsid w:val="587C7306"/>
    <w:rsid w:val="6E2A7B2F"/>
    <w:rsid w:val="72D6166F"/>
    <w:rsid w:val="774E7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17"/>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10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64"/>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link w:val="119"/>
    <w:qFormat/>
    <w:uiPriority w:val="0"/>
    <w:pPr>
      <w:keepNext/>
      <w:spacing w:before="240" w:after="60"/>
      <w:outlineLvl w:val="3"/>
    </w:pPr>
    <w:rPr>
      <w:rFonts w:eastAsia="MS Mincho"/>
      <w:b/>
      <w:bCs/>
      <w:sz w:val="28"/>
      <w:szCs w:val="28"/>
    </w:rPr>
  </w:style>
  <w:style w:type="paragraph" w:styleId="7">
    <w:name w:val="heading 5"/>
    <w:basedOn w:val="1"/>
    <w:next w:val="1"/>
    <w:link w:val="120"/>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link w:val="12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link w:val="122"/>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link w:val="12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link w:val="12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5"/>
    <w:qFormat/>
    <w:uiPriority w:val="0"/>
    <w:pPr>
      <w:spacing w:after="120"/>
      <w:jc w:val="both"/>
    </w:pPr>
    <w:rPr>
      <w:rFonts w:eastAsia="MS Mincho"/>
    </w:rPr>
  </w:style>
  <w:style w:type="paragraph" w:styleId="14">
    <w:name w:val="Balloon Text"/>
    <w:basedOn w:val="1"/>
    <w:link w:val="165"/>
    <w:semiHidden/>
    <w:qFormat/>
    <w:uiPriority w:val="0"/>
    <w:rPr>
      <w:sz w:val="18"/>
      <w:szCs w:val="18"/>
    </w:rPr>
  </w:style>
  <w:style w:type="paragraph" w:styleId="15">
    <w:name w:val="caption"/>
    <w:basedOn w:val="1"/>
    <w:next w:val="1"/>
    <w:link w:val="51"/>
    <w:qFormat/>
    <w:uiPriority w:val="35"/>
    <w:pPr>
      <w:overflowPunct w:val="0"/>
      <w:autoSpaceDE w:val="0"/>
      <w:autoSpaceDN w:val="0"/>
      <w:adjustRightInd w:val="0"/>
      <w:spacing w:before="120" w:after="120"/>
      <w:textAlignment w:val="baseline"/>
    </w:pPr>
    <w:rPr>
      <w:szCs w:val="20"/>
      <w:lang w:val="en-GB"/>
    </w:rPr>
  </w:style>
  <w:style w:type="character" w:styleId="16">
    <w:name w:val="annotation reference"/>
    <w:qFormat/>
    <w:uiPriority w:val="0"/>
    <w:rPr>
      <w:sz w:val="21"/>
      <w:szCs w:val="21"/>
    </w:rPr>
  </w:style>
  <w:style w:type="paragraph" w:styleId="17">
    <w:name w:val="annotation text"/>
    <w:basedOn w:val="1"/>
    <w:link w:val="109"/>
    <w:qFormat/>
    <w:uiPriority w:val="99"/>
  </w:style>
  <w:style w:type="paragraph" w:styleId="18">
    <w:name w:val="annotation subject"/>
    <w:basedOn w:val="17"/>
    <w:next w:val="17"/>
    <w:link w:val="164"/>
    <w:qFormat/>
    <w:uiPriority w:val="0"/>
    <w:rPr>
      <w:b/>
      <w:bCs/>
    </w:rPr>
  </w:style>
  <w:style w:type="paragraph" w:styleId="19">
    <w:name w:val="Document Map"/>
    <w:basedOn w:val="1"/>
    <w:link w:val="166"/>
    <w:qFormat/>
    <w:uiPriority w:val="0"/>
    <w:pPr>
      <w:shd w:val="clear" w:color="auto" w:fill="000080"/>
    </w:pPr>
  </w:style>
  <w:style w:type="character" w:styleId="20">
    <w:name w:val="FollowedHyperlink"/>
    <w:semiHidden/>
    <w:unhideWhenUsed/>
    <w:qFormat/>
    <w:uiPriority w:val="0"/>
    <w:rPr>
      <w:color w:val="800080"/>
      <w:u w:val="single"/>
    </w:rPr>
  </w:style>
  <w:style w:type="paragraph" w:styleId="21">
    <w:name w:val="footer"/>
    <w:basedOn w:val="1"/>
    <w:link w:val="127"/>
    <w:qFormat/>
    <w:uiPriority w:val="0"/>
    <w:pPr>
      <w:tabs>
        <w:tab w:val="center" w:pos="4153"/>
        <w:tab w:val="right" w:pos="8306"/>
      </w:tabs>
      <w:snapToGrid w:val="0"/>
    </w:pPr>
    <w:rPr>
      <w:sz w:val="18"/>
      <w:szCs w:val="18"/>
    </w:rPr>
  </w:style>
  <w:style w:type="character" w:styleId="22">
    <w:name w:val="footnote reference"/>
    <w:qFormat/>
    <w:uiPriority w:val="0"/>
    <w:rPr>
      <w:b/>
      <w:position w:val="6"/>
      <w:sz w:val="16"/>
    </w:rPr>
  </w:style>
  <w:style w:type="paragraph" w:styleId="23">
    <w:name w:val="footnote text"/>
    <w:basedOn w:val="1"/>
    <w:link w:val="116"/>
    <w:qFormat/>
    <w:uiPriority w:val="0"/>
    <w:pPr>
      <w:keepLines/>
      <w:overflowPunct w:val="0"/>
      <w:autoSpaceDE w:val="0"/>
      <w:autoSpaceDN w:val="0"/>
      <w:adjustRightInd w:val="0"/>
      <w:ind w:left="454" w:hanging="454"/>
      <w:textAlignment w:val="baseline"/>
    </w:pPr>
    <w:rPr>
      <w:sz w:val="16"/>
      <w:szCs w:val="20"/>
      <w:lang w:val="zh-CN" w:eastAsia="zh-CN"/>
    </w:rPr>
  </w:style>
  <w:style w:type="paragraph" w:styleId="24">
    <w:name w:val="header"/>
    <w:basedOn w:val="1"/>
    <w:link w:val="71"/>
    <w:qFormat/>
    <w:uiPriority w:val="99"/>
    <w:pPr>
      <w:tabs>
        <w:tab w:val="center" w:pos="4536"/>
        <w:tab w:val="right" w:pos="9072"/>
      </w:tabs>
    </w:pPr>
    <w:rPr>
      <w:rFonts w:ascii="Arial" w:hAnsi="Arial" w:eastAsia="MS Mincho"/>
      <w:b/>
    </w:rPr>
  </w:style>
  <w:style w:type="character" w:styleId="25">
    <w:name w:val="Hyperlink"/>
    <w:qFormat/>
    <w:uiPriority w:val="99"/>
    <w:rPr>
      <w:color w:val="0000FF"/>
      <w:u w:val="single"/>
    </w:rPr>
  </w:style>
  <w:style w:type="paragraph" w:styleId="26">
    <w:name w:val="index 1"/>
    <w:basedOn w:val="1"/>
    <w:next w:val="1"/>
    <w:qFormat/>
    <w:uiPriority w:val="0"/>
    <w:pPr>
      <w:keepLines/>
      <w:overflowPunct w:val="0"/>
      <w:autoSpaceDE w:val="0"/>
      <w:autoSpaceDN w:val="0"/>
      <w:adjustRightInd w:val="0"/>
      <w:textAlignment w:val="baseline"/>
    </w:pPr>
    <w:rPr>
      <w:szCs w:val="20"/>
      <w:lang w:val="en-GB" w:eastAsia="ja-JP"/>
    </w:rPr>
  </w:style>
  <w:style w:type="paragraph" w:styleId="27">
    <w:name w:val="index 2"/>
    <w:basedOn w:val="26"/>
    <w:next w:val="1"/>
    <w:qFormat/>
    <w:uiPriority w:val="0"/>
    <w:pPr>
      <w:ind w:left="284"/>
    </w:pPr>
  </w:style>
  <w:style w:type="paragraph" w:styleId="28">
    <w:name w:val="List"/>
    <w:basedOn w:val="1"/>
    <w:qFormat/>
    <w:uiPriority w:val="0"/>
    <w:pPr>
      <w:ind w:left="283" w:hanging="283"/>
    </w:pPr>
  </w:style>
  <w:style w:type="paragraph" w:styleId="29">
    <w:name w:val="List 2"/>
    <w:basedOn w:val="28"/>
    <w:qFormat/>
    <w:uiPriority w:val="0"/>
    <w:pPr>
      <w:numPr>
        <w:ilvl w:val="0"/>
        <w:numId w:val="1"/>
      </w:numPr>
      <w:spacing w:before="180"/>
    </w:pPr>
    <w:rPr>
      <w:rFonts w:ascii="Arial" w:hAnsi="Arial"/>
      <w:sz w:val="22"/>
      <w:szCs w:val="20"/>
    </w:rPr>
  </w:style>
  <w:style w:type="paragraph" w:styleId="30">
    <w:name w:val="List 3"/>
    <w:basedOn w:val="29"/>
    <w:qFormat/>
    <w:uiPriority w:val="0"/>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28"/>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34">
    <w:name w:val="List Bullet 2"/>
    <w:basedOn w:val="33"/>
    <w:qFormat/>
    <w:uiPriority w:val="0"/>
    <w:pPr>
      <w:ind w:left="851"/>
    </w:pPr>
  </w:style>
  <w:style w:type="paragraph" w:styleId="35">
    <w:name w:val="List Bullet 3"/>
    <w:basedOn w:val="34"/>
    <w:qFormat/>
    <w:uiPriority w:val="0"/>
    <w:pPr>
      <w:ind w:left="1135"/>
    </w:pPr>
  </w:style>
  <w:style w:type="paragraph" w:styleId="36">
    <w:name w:val="List Bullet 4"/>
    <w:basedOn w:val="35"/>
    <w:qFormat/>
    <w:uiPriority w:val="0"/>
    <w:pPr>
      <w:ind w:left="1418"/>
    </w:pPr>
  </w:style>
  <w:style w:type="paragraph" w:styleId="37">
    <w:name w:val="List Bullet 5"/>
    <w:basedOn w:val="36"/>
    <w:qFormat/>
    <w:uiPriority w:val="0"/>
    <w:pPr>
      <w:ind w:left="1702"/>
    </w:pPr>
  </w:style>
  <w:style w:type="paragraph" w:styleId="38">
    <w:name w:val="List Number"/>
    <w:basedOn w:val="28"/>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39">
    <w:name w:val="List Number 2"/>
    <w:basedOn w:val="38"/>
    <w:qFormat/>
    <w:uiPriority w:val="0"/>
    <w:pPr>
      <w:ind w:left="851"/>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41">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2">
    <w:name w:val="toc 1"/>
    <w:basedOn w:val="1"/>
    <w:next w:val="1"/>
    <w:qFormat/>
    <w:uiPriority w:val="39"/>
  </w:style>
  <w:style w:type="paragraph" w:styleId="43">
    <w:name w:val="toc 2"/>
    <w:basedOn w:val="42"/>
    <w:next w:val="1"/>
    <w:qFormat/>
    <w:uiPriority w:val="39"/>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44">
    <w:name w:val="toc 3"/>
    <w:basedOn w:val="43"/>
    <w:next w:val="1"/>
    <w:qFormat/>
    <w:uiPriority w:val="39"/>
    <w:pPr>
      <w:ind w:left="1134" w:hanging="1134"/>
    </w:pPr>
  </w:style>
  <w:style w:type="paragraph" w:styleId="45">
    <w:name w:val="toc 4"/>
    <w:basedOn w:val="44"/>
    <w:next w:val="1"/>
    <w:qFormat/>
    <w:uiPriority w:val="39"/>
    <w:pPr>
      <w:ind w:left="1418" w:hanging="1418"/>
    </w:pPr>
  </w:style>
  <w:style w:type="paragraph" w:styleId="46">
    <w:name w:val="toc 5"/>
    <w:basedOn w:val="45"/>
    <w:next w:val="1"/>
    <w:qFormat/>
    <w:uiPriority w:val="39"/>
    <w:pPr>
      <w:ind w:left="1701" w:hanging="1701"/>
    </w:pPr>
  </w:style>
  <w:style w:type="paragraph" w:styleId="47">
    <w:name w:val="toc 6"/>
    <w:basedOn w:val="46"/>
    <w:next w:val="1"/>
    <w:qFormat/>
    <w:uiPriority w:val="39"/>
    <w:pPr>
      <w:ind w:left="1985" w:hanging="1985"/>
    </w:pPr>
  </w:style>
  <w:style w:type="paragraph" w:styleId="48">
    <w:name w:val="toc 7"/>
    <w:basedOn w:val="47"/>
    <w:next w:val="1"/>
    <w:qFormat/>
    <w:uiPriority w:val="39"/>
    <w:pPr>
      <w:ind w:left="2268" w:hanging="2268"/>
    </w:pPr>
  </w:style>
  <w:style w:type="paragraph" w:styleId="49">
    <w:name w:val="toc 8"/>
    <w:basedOn w:val="42"/>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50">
    <w:name w:val="toc 9"/>
    <w:basedOn w:val="49"/>
    <w:next w:val="1"/>
    <w:qFormat/>
    <w:uiPriority w:val="39"/>
    <w:pPr>
      <w:ind w:left="1418" w:hanging="1418"/>
    </w:pPr>
    <w:rPr>
      <w:rFonts w:eastAsia="Times New Roman"/>
      <w:lang w:val="en-GB" w:eastAsia="ja-JP"/>
    </w:rPr>
  </w:style>
  <w:style w:type="character" w:customStyle="1" w:styleId="51">
    <w:name w:val="Caption Char"/>
    <w:link w:val="15"/>
    <w:qFormat/>
    <w:uiPriority w:val="0"/>
    <w:rPr>
      <w:lang w:val="en-GB" w:eastAsia="en-US" w:bidi="ar-SA"/>
    </w:rPr>
  </w:style>
  <w:style w:type="paragraph" w:customStyle="1" w:styleId="52">
    <w:name w:val="TAC"/>
    <w:basedOn w:val="1"/>
    <w:link w:val="107"/>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53">
    <w:name w:val="TAL"/>
    <w:basedOn w:val="1"/>
    <w:link w:val="130"/>
    <w:qFormat/>
    <w:uiPriority w:val="0"/>
    <w:pPr>
      <w:keepNext/>
      <w:keepLines/>
    </w:pPr>
    <w:rPr>
      <w:rFonts w:ascii="Arial" w:hAnsi="Arial"/>
      <w:sz w:val="18"/>
      <w:szCs w:val="20"/>
      <w:lang w:val="en-GB"/>
    </w:rPr>
  </w:style>
  <w:style w:type="paragraph" w:customStyle="1" w:styleId="54">
    <w:name w:val="TAH"/>
    <w:basedOn w:val="1"/>
    <w:link w:val="110"/>
    <w:qFormat/>
    <w:uiPriority w:val="0"/>
    <w:pPr>
      <w:keepNext/>
      <w:keepLines/>
      <w:jc w:val="center"/>
    </w:pPr>
    <w:rPr>
      <w:rFonts w:ascii="Arial" w:hAnsi="Arial"/>
      <w:b/>
      <w:sz w:val="18"/>
      <w:szCs w:val="20"/>
      <w:lang w:val="en-GB"/>
    </w:rPr>
  </w:style>
  <w:style w:type="paragraph" w:customStyle="1" w:styleId="55">
    <w:name w:val="TH"/>
    <w:basedOn w:val="1"/>
    <w:link w:val="82"/>
    <w:qFormat/>
    <w:uiPriority w:val="0"/>
    <w:pPr>
      <w:keepNext/>
      <w:keepLines/>
      <w:spacing w:before="60" w:after="180"/>
      <w:jc w:val="center"/>
    </w:pPr>
    <w:rPr>
      <w:rFonts w:ascii="Arial" w:hAnsi="Arial"/>
      <w:b/>
      <w:szCs w:val="20"/>
      <w:lang w:val="en-GB"/>
    </w:rPr>
  </w:style>
  <w:style w:type="paragraph" w:customStyle="1" w:styleId="56">
    <w:name w:val="TF"/>
    <w:basedOn w:val="55"/>
    <w:link w:val="115"/>
    <w:qFormat/>
    <w:uiPriority w:val="0"/>
    <w:pPr>
      <w:keepNext w:val="0"/>
      <w:spacing w:before="0" w:after="240"/>
    </w:pPr>
  </w:style>
  <w:style w:type="paragraph" w:customStyle="1" w:styleId="57">
    <w:name w:val="Char Char Char 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8">
    <w:name w:val="Char Char1 Char Char"/>
    <w:basedOn w:val="1"/>
    <w:qFormat/>
    <w:uiPriority w:val="0"/>
    <w:rPr>
      <w:rFonts w:ascii="Times" w:hAnsi="Times"/>
      <w:sz w:val="22"/>
      <w:szCs w:val="20"/>
    </w:rPr>
  </w:style>
  <w:style w:type="paragraph" w:customStyle="1" w:styleId="5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0">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6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4">
    <w:name w:val="Heading 3 Char"/>
    <w:link w:val="5"/>
    <w:qFormat/>
    <w:uiPriority w:val="0"/>
    <w:rPr>
      <w:rFonts w:ascii="Arial" w:hAnsi="Arial" w:eastAsia="MS Mincho" w:cs="Arial"/>
      <w:b/>
      <w:bCs/>
      <w:sz w:val="26"/>
      <w:szCs w:val="26"/>
      <w:lang w:eastAsia="en-US"/>
    </w:rPr>
  </w:style>
  <w:style w:type="character" w:customStyle="1" w:styleId="65">
    <w:name w:val="Body Text Char"/>
    <w:link w:val="3"/>
    <w:qFormat/>
    <w:uiPriority w:val="0"/>
    <w:rPr>
      <w:rFonts w:eastAsia="MS Mincho"/>
      <w:szCs w:val="24"/>
      <w:lang w:val="en-US" w:eastAsia="en-US" w:bidi="ar-SA"/>
    </w:rPr>
  </w:style>
  <w:style w:type="paragraph" w:customStyle="1" w:styleId="66">
    <w:name w:val="Char Char Char Char Char Char 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7">
    <w:name w:val="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8">
    <w:name w:val="LGTdoc_본문"/>
    <w:basedOn w:val="1"/>
    <w:link w:val="6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69">
    <w:name w:val="LGTdoc_본문 Char"/>
    <w:link w:val="68"/>
    <w:qFormat/>
    <w:uiPriority w:val="0"/>
    <w:rPr>
      <w:rFonts w:eastAsia="Batang"/>
      <w:kern w:val="2"/>
      <w:sz w:val="22"/>
      <w:szCs w:val="24"/>
      <w:lang w:val="en-GB" w:eastAsia="ko-KR" w:bidi="ar-SA"/>
    </w:rPr>
  </w:style>
  <w:style w:type="paragraph" w:customStyle="1" w:styleId="7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71">
    <w:name w:val="Header Char"/>
    <w:link w:val="24"/>
    <w:qFormat/>
    <w:uiPriority w:val="0"/>
    <w:rPr>
      <w:rFonts w:ascii="Arial" w:hAnsi="Arial" w:eastAsia="MS Mincho"/>
      <w:b/>
      <w:szCs w:val="24"/>
      <w:lang w:val="en-US" w:eastAsia="en-US" w:bidi="ar-SA"/>
    </w:rPr>
  </w:style>
  <w:style w:type="character" w:customStyle="1" w:styleId="72">
    <w:name w:val="bt Char"/>
    <w:qFormat/>
    <w:uiPriority w:val="0"/>
    <w:rPr>
      <w:rFonts w:ascii="Arial" w:hAnsi="Arial" w:eastAsia="MS Mincho" w:cs="Arial"/>
      <w:color w:val="0000FF"/>
      <w:kern w:val="2"/>
      <w:szCs w:val="24"/>
      <w:lang w:val="en-US" w:eastAsia="en-US" w:bidi="ar-SA"/>
    </w:rPr>
  </w:style>
  <w:style w:type="paragraph" w:customStyle="1" w:styleId="7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74">
    <w:name w:val="apple-converted-space"/>
    <w:basedOn w:val="12"/>
    <w:qFormat/>
    <w:uiPriority w:val="0"/>
  </w:style>
  <w:style w:type="paragraph" w:customStyle="1" w:styleId="7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77">
    <w:name w:val="List Paragraph"/>
    <w:basedOn w:val="1"/>
    <w:link w:val="87"/>
    <w:qFormat/>
    <w:uiPriority w:val="34"/>
    <w:pPr>
      <w:widowControl w:val="0"/>
      <w:ind w:firstLine="420" w:firstLineChars="200"/>
      <w:jc w:val="both"/>
    </w:pPr>
    <w:rPr>
      <w:rFonts w:ascii="Calibri" w:hAnsi="Calibri" w:eastAsia="宋体"/>
      <w:kern w:val="2"/>
      <w:sz w:val="21"/>
      <w:szCs w:val="22"/>
      <w:lang w:eastAsia="zh-CN"/>
    </w:rPr>
  </w:style>
  <w:style w:type="paragraph" w:customStyle="1" w:styleId="78">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79">
    <w:name w:val="B1"/>
    <w:basedOn w:val="28"/>
    <w:link w:val="8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80">
    <w:name w:val="B2"/>
    <w:basedOn w:val="29"/>
    <w:link w:val="97"/>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81">
    <w:name w:val="B1 (文字)"/>
    <w:link w:val="79"/>
    <w:qFormat/>
    <w:uiPriority w:val="0"/>
    <w:rPr>
      <w:rFonts w:eastAsia="Times New Roman"/>
      <w:lang w:val="en-GB" w:eastAsia="en-GB"/>
    </w:rPr>
  </w:style>
  <w:style w:type="character" w:customStyle="1" w:styleId="82">
    <w:name w:val="TH Char"/>
    <w:link w:val="55"/>
    <w:qFormat/>
    <w:uiPriority w:val="0"/>
    <w:rPr>
      <w:rFonts w:ascii="Arial" w:hAnsi="Arial" w:eastAsia="Times New Roman"/>
      <w:b/>
      <w:lang w:val="en-GB" w:eastAsia="en-US"/>
    </w:rPr>
  </w:style>
  <w:style w:type="paragraph" w:customStyle="1" w:styleId="8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4">
    <w:name w:val="Revision1"/>
    <w:hidden/>
    <w:semiHidden/>
    <w:qFormat/>
    <w:uiPriority w:val="99"/>
    <w:rPr>
      <w:rFonts w:ascii="Times New Roman" w:hAnsi="Times New Roman" w:eastAsia="Times New Roman" w:cs="Times New Roman"/>
      <w:szCs w:val="24"/>
      <w:lang w:val="en-US" w:eastAsia="en-US" w:bidi="ar-SA"/>
    </w:r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List Paragraph Char"/>
    <w:link w:val="77"/>
    <w:qFormat/>
    <w:locked/>
    <w:uiPriority w:val="34"/>
    <w:rPr>
      <w:rFonts w:ascii="Calibri" w:hAnsi="Calibri"/>
      <w:kern w:val="2"/>
      <w:sz w:val="21"/>
      <w:szCs w:val="22"/>
    </w:rPr>
  </w:style>
  <w:style w:type="paragraph" w:customStyle="1" w:styleId="88">
    <w:name w:val="插图题注"/>
    <w:basedOn w:val="1"/>
    <w:qFormat/>
    <w:uiPriority w:val="0"/>
    <w:pPr>
      <w:spacing w:after="180"/>
    </w:pPr>
    <w:rPr>
      <w:rFonts w:eastAsia="宋体"/>
      <w:szCs w:val="20"/>
      <w:lang w:val="en-GB"/>
    </w:rPr>
  </w:style>
  <w:style w:type="paragraph" w:customStyle="1" w:styleId="89">
    <w:name w:val="表格题注"/>
    <w:basedOn w:val="1"/>
    <w:qFormat/>
    <w:uiPriority w:val="0"/>
    <w:pPr>
      <w:spacing w:after="180"/>
    </w:pPr>
    <w:rPr>
      <w:rFonts w:eastAsia="宋体"/>
      <w:szCs w:val="20"/>
      <w:lang w:val="en-GB"/>
    </w:rPr>
  </w:style>
  <w:style w:type="character" w:customStyle="1" w:styleId="90">
    <w:name w:val="B1 Char"/>
    <w:qFormat/>
    <w:locked/>
    <w:uiPriority w:val="0"/>
    <w:rPr>
      <w:rFonts w:ascii="Arial" w:hAnsi="Arial" w:eastAsia="宋体" w:cs="Times New Roman"/>
      <w:sz w:val="20"/>
      <w:szCs w:val="20"/>
      <w:lang w:val="en-GB"/>
    </w:rPr>
  </w:style>
  <w:style w:type="paragraph" w:customStyle="1" w:styleId="91">
    <w:name w:val="Reference"/>
    <w:basedOn w:val="1"/>
    <w:qFormat/>
    <w:uiPriority w:val="0"/>
    <w:pPr>
      <w:numPr>
        <w:ilvl w:val="0"/>
        <w:numId w:val="4"/>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92">
    <w:name w:val="Doc-title"/>
    <w:basedOn w:val="1"/>
    <w:next w:val="85"/>
    <w:link w:val="93"/>
    <w:qFormat/>
    <w:uiPriority w:val="0"/>
    <w:pPr>
      <w:spacing w:before="60"/>
      <w:ind w:left="1259" w:hanging="1259"/>
    </w:pPr>
    <w:rPr>
      <w:rFonts w:ascii="Arial" w:hAnsi="Arial" w:eastAsia="MS Mincho"/>
      <w:lang w:val="en-GB" w:eastAsia="en-GB"/>
    </w:rPr>
  </w:style>
  <w:style w:type="character" w:customStyle="1" w:styleId="93">
    <w:name w:val="Doc-title Char"/>
    <w:link w:val="92"/>
    <w:qFormat/>
    <w:uiPriority w:val="0"/>
    <w:rPr>
      <w:rFonts w:ascii="Arial" w:hAnsi="Arial" w:eastAsia="MS Mincho"/>
      <w:szCs w:val="24"/>
      <w:lang w:val="en-GB" w:eastAsia="en-GB"/>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character" w:customStyle="1" w:styleId="96">
    <w:name w:val="B1 Char1"/>
    <w:qFormat/>
    <w:locked/>
    <w:uiPriority w:val="0"/>
    <w:rPr>
      <w:rFonts w:eastAsia="Times New Roman"/>
      <w:lang w:val="zh-CN" w:eastAsia="zh-CN"/>
    </w:rPr>
  </w:style>
  <w:style w:type="character" w:customStyle="1" w:styleId="97">
    <w:name w:val="B2 Char"/>
    <w:link w:val="80"/>
    <w:qFormat/>
    <w:locked/>
    <w:uiPriority w:val="0"/>
    <w:rPr>
      <w:rFonts w:eastAsia="Times New Roman"/>
      <w:lang w:val="en-GB" w:eastAsia="en-GB"/>
    </w:rPr>
  </w:style>
  <w:style w:type="paragraph" w:customStyle="1" w:styleId="98">
    <w:name w:val="Proposal"/>
    <w:basedOn w:val="1"/>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character" w:customStyle="1" w:styleId="99">
    <w:name w:val="题注 字符1"/>
    <w:qFormat/>
    <w:uiPriority w:val="0"/>
    <w:rPr>
      <w:lang w:val="en-GB" w:eastAsia="en-US" w:bidi="ar-SA"/>
    </w:rPr>
  </w:style>
  <w:style w:type="character" w:customStyle="1" w:styleId="100">
    <w:name w:val="Heading 2 Char"/>
    <w:link w:val="4"/>
    <w:qFormat/>
    <w:uiPriority w:val="0"/>
    <w:rPr>
      <w:rFonts w:ascii="Arial" w:hAnsi="Arial" w:eastAsia="MS Mincho" w:cs="Arial"/>
      <w:b/>
      <w:bCs/>
      <w:iCs/>
      <w:szCs w:val="28"/>
    </w:rPr>
  </w:style>
  <w:style w:type="paragraph" w:customStyle="1" w:styleId="101">
    <w:name w:val="CR Cover Page"/>
    <w:link w:val="163"/>
    <w:qFormat/>
    <w:uiPriority w:val="0"/>
    <w:pPr>
      <w:spacing w:after="120"/>
    </w:pPr>
    <w:rPr>
      <w:rFonts w:ascii="Arial" w:hAnsi="Arial" w:eastAsia="宋体" w:cs="Times New Roman"/>
      <w:lang w:val="en-GB" w:eastAsia="en-US" w:bidi="ar-SA"/>
    </w:rPr>
  </w:style>
  <w:style w:type="paragraph" w:customStyle="1" w:styleId="102">
    <w:name w:val="Agreement"/>
    <w:basedOn w:val="1"/>
    <w:next w:val="85"/>
    <w:qFormat/>
    <w:uiPriority w:val="0"/>
    <w:pPr>
      <w:numPr>
        <w:ilvl w:val="0"/>
        <w:numId w:val="5"/>
      </w:numPr>
      <w:spacing w:before="60"/>
    </w:pPr>
    <w:rPr>
      <w:rFonts w:ascii="Arial" w:hAnsi="Arial" w:eastAsia="MS Mincho"/>
      <w:b/>
      <w:lang w:val="en-GB" w:eastAsia="en-GB"/>
    </w:rPr>
  </w:style>
  <w:style w:type="paragraph" w:customStyle="1" w:styleId="103">
    <w:name w:val="NO"/>
    <w:basedOn w:val="1"/>
    <w:link w:val="104"/>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104">
    <w:name w:val="NO Char"/>
    <w:link w:val="103"/>
    <w:qFormat/>
    <w:uiPriority w:val="0"/>
    <w:rPr>
      <w:rFonts w:eastAsia="Times New Roman"/>
      <w:lang w:val="zh-CN" w:eastAsia="zh-CN"/>
    </w:rPr>
  </w:style>
  <w:style w:type="paragraph" w:customStyle="1" w:styleId="105">
    <w:name w:val="Bold Comments"/>
    <w:basedOn w:val="1"/>
    <w:link w:val="106"/>
    <w:qFormat/>
    <w:uiPriority w:val="0"/>
    <w:pPr>
      <w:spacing w:before="240" w:after="60"/>
      <w:outlineLvl w:val="8"/>
    </w:pPr>
    <w:rPr>
      <w:rFonts w:ascii="Arial" w:hAnsi="Arial" w:eastAsia="MS Mincho"/>
      <w:b/>
      <w:lang w:val="en-GB" w:eastAsia="en-GB"/>
    </w:rPr>
  </w:style>
  <w:style w:type="character" w:customStyle="1" w:styleId="106">
    <w:name w:val="Bold Comments Char"/>
    <w:link w:val="105"/>
    <w:qFormat/>
    <w:uiPriority w:val="0"/>
    <w:rPr>
      <w:rFonts w:ascii="Arial" w:hAnsi="Arial" w:eastAsia="MS Mincho"/>
      <w:b/>
      <w:szCs w:val="24"/>
      <w:lang w:val="en-GB" w:eastAsia="en-GB"/>
    </w:rPr>
  </w:style>
  <w:style w:type="character" w:customStyle="1" w:styleId="107">
    <w:name w:val="TAC Char"/>
    <w:link w:val="52"/>
    <w:qFormat/>
    <w:locked/>
    <w:uiPriority w:val="0"/>
    <w:rPr>
      <w:rFonts w:ascii="Arial" w:hAnsi="Arial" w:eastAsia="Times New Roman"/>
      <w:sz w:val="18"/>
      <w:lang w:val="en-GB" w:eastAsia="en-GB"/>
    </w:rPr>
  </w:style>
  <w:style w:type="paragraph" w:customStyle="1" w:styleId="108">
    <w:name w:val="样式1"/>
    <w:basedOn w:val="3"/>
    <w:qFormat/>
    <w:uiPriority w:val="0"/>
    <w:pPr>
      <w:jc w:val="center"/>
    </w:pPr>
  </w:style>
  <w:style w:type="character" w:customStyle="1" w:styleId="109">
    <w:name w:val="Comment Text Char"/>
    <w:link w:val="17"/>
    <w:qFormat/>
    <w:uiPriority w:val="99"/>
    <w:rPr>
      <w:rFonts w:eastAsia="Times New Roman"/>
      <w:szCs w:val="24"/>
      <w:lang w:eastAsia="en-US"/>
    </w:rPr>
  </w:style>
  <w:style w:type="character" w:customStyle="1" w:styleId="110">
    <w:name w:val="TAH Car"/>
    <w:link w:val="54"/>
    <w:qFormat/>
    <w:uiPriority w:val="0"/>
    <w:rPr>
      <w:rFonts w:ascii="Arial" w:hAnsi="Arial" w:eastAsia="Times New Roman"/>
      <w:b/>
      <w:sz w:val="18"/>
      <w:lang w:val="en-GB" w:eastAsia="en-US"/>
    </w:rPr>
  </w:style>
  <w:style w:type="character" w:customStyle="1" w:styleId="111">
    <w:name w:val="页眉 字符1"/>
    <w:semiHidden/>
    <w:qFormat/>
    <w:locked/>
    <w:uiPriority w:val="99"/>
    <w:rPr>
      <w:rFonts w:ascii="Arial" w:hAnsi="Arial" w:eastAsia="MS Mincho" w:cs="Arial"/>
      <w:b/>
      <w:szCs w:val="24"/>
      <w:lang w:eastAsia="en-US"/>
    </w:rPr>
  </w:style>
  <w:style w:type="character" w:customStyle="1" w:styleId="112">
    <w:name w:val="正文文本 字符"/>
    <w:qFormat/>
    <w:uiPriority w:val="0"/>
    <w:rPr>
      <w:rFonts w:eastAsia="MS Mincho"/>
      <w:szCs w:val="24"/>
      <w:lang w:eastAsia="en-US"/>
    </w:rPr>
  </w:style>
  <w:style w:type="character" w:customStyle="1" w:styleId="113">
    <w:name w:val="列表段落 字符"/>
    <w:qFormat/>
    <w:uiPriority w:val="34"/>
    <w:rPr>
      <w:rFonts w:eastAsia="MS Mincho"/>
      <w:lang w:val="en-GB" w:eastAsia="en-US"/>
    </w:rPr>
  </w:style>
  <w:style w:type="character" w:customStyle="1" w:styleId="114">
    <w:name w:val="页眉 字符"/>
    <w:qFormat/>
    <w:uiPriority w:val="99"/>
    <w:rPr>
      <w:rFonts w:ascii="Arial" w:hAnsi="Arial" w:eastAsia="MS Mincho"/>
      <w:b/>
      <w:szCs w:val="24"/>
      <w:lang w:eastAsia="en-US"/>
    </w:rPr>
  </w:style>
  <w:style w:type="character" w:customStyle="1" w:styleId="115">
    <w:name w:val="TF Char"/>
    <w:link w:val="56"/>
    <w:qFormat/>
    <w:locked/>
    <w:uiPriority w:val="0"/>
    <w:rPr>
      <w:rFonts w:ascii="Arial" w:hAnsi="Arial" w:eastAsia="Times New Roman"/>
      <w:b/>
      <w:lang w:val="en-GB" w:eastAsia="en-US"/>
    </w:rPr>
  </w:style>
  <w:style w:type="character" w:customStyle="1" w:styleId="116">
    <w:name w:val="Footnote Text Char"/>
    <w:link w:val="23"/>
    <w:qFormat/>
    <w:uiPriority w:val="0"/>
    <w:rPr>
      <w:rFonts w:eastAsia="Times New Roman"/>
      <w:sz w:val="16"/>
      <w:lang w:val="zh-CN"/>
    </w:rPr>
  </w:style>
  <w:style w:type="character" w:customStyle="1" w:styleId="117">
    <w:name w:val="Heading 1 Char"/>
    <w:link w:val="2"/>
    <w:qFormat/>
    <w:uiPriority w:val="0"/>
    <w:rPr>
      <w:rFonts w:ascii="Arial" w:hAnsi="Arial" w:cs="Arial"/>
      <w:b/>
      <w:bCs/>
      <w:kern w:val="32"/>
      <w:sz w:val="28"/>
      <w:szCs w:val="32"/>
    </w:rPr>
  </w:style>
  <w:style w:type="character" w:customStyle="1" w:styleId="118">
    <w:name w:val="标题 3 字符"/>
    <w:qFormat/>
    <w:uiPriority w:val="0"/>
    <w:rPr>
      <w:rFonts w:ascii="Arial" w:hAnsi="Arial" w:eastAsia="Times New Roman"/>
      <w:sz w:val="28"/>
    </w:rPr>
  </w:style>
  <w:style w:type="character" w:customStyle="1" w:styleId="119">
    <w:name w:val="Heading 4 Char"/>
    <w:link w:val="6"/>
    <w:qFormat/>
    <w:locked/>
    <w:uiPriority w:val="0"/>
    <w:rPr>
      <w:rFonts w:eastAsia="MS Mincho"/>
      <w:b/>
      <w:bCs/>
      <w:sz w:val="28"/>
      <w:szCs w:val="28"/>
      <w:lang w:eastAsia="en-US"/>
    </w:rPr>
  </w:style>
  <w:style w:type="character" w:customStyle="1" w:styleId="120">
    <w:name w:val="Heading 5 Char"/>
    <w:link w:val="7"/>
    <w:qFormat/>
    <w:uiPriority w:val="0"/>
    <w:rPr>
      <w:rFonts w:eastAsia="Times New Roman"/>
      <w:b/>
      <w:bCs/>
      <w:sz w:val="28"/>
      <w:szCs w:val="28"/>
      <w:lang w:eastAsia="en-US"/>
    </w:rPr>
  </w:style>
  <w:style w:type="character" w:customStyle="1" w:styleId="121">
    <w:name w:val="Heading 6 Char"/>
    <w:link w:val="8"/>
    <w:qFormat/>
    <w:uiPriority w:val="0"/>
    <w:rPr>
      <w:rFonts w:ascii="Arial" w:hAnsi="Arial" w:eastAsia="黑体"/>
      <w:b/>
      <w:bCs/>
      <w:sz w:val="24"/>
      <w:szCs w:val="24"/>
      <w:lang w:eastAsia="en-US"/>
    </w:rPr>
  </w:style>
  <w:style w:type="character" w:customStyle="1" w:styleId="122">
    <w:name w:val="Heading 7 Char"/>
    <w:link w:val="9"/>
    <w:qFormat/>
    <w:uiPriority w:val="0"/>
    <w:rPr>
      <w:rFonts w:eastAsia="Times New Roman"/>
      <w:b/>
      <w:bCs/>
      <w:sz w:val="24"/>
      <w:szCs w:val="24"/>
      <w:lang w:eastAsia="en-US"/>
    </w:rPr>
  </w:style>
  <w:style w:type="character" w:customStyle="1" w:styleId="123">
    <w:name w:val="Heading 8 Char"/>
    <w:link w:val="10"/>
    <w:qFormat/>
    <w:uiPriority w:val="0"/>
    <w:rPr>
      <w:rFonts w:ascii="Arial" w:hAnsi="Arial" w:eastAsia="黑体"/>
      <w:sz w:val="24"/>
      <w:szCs w:val="24"/>
      <w:lang w:eastAsia="en-US"/>
    </w:rPr>
  </w:style>
  <w:style w:type="character" w:customStyle="1" w:styleId="124">
    <w:name w:val="Heading 9 Char"/>
    <w:link w:val="11"/>
    <w:qFormat/>
    <w:uiPriority w:val="0"/>
    <w:rPr>
      <w:rFonts w:ascii="Arial" w:hAnsi="Arial" w:eastAsia="黑体"/>
      <w:sz w:val="21"/>
      <w:szCs w:val="21"/>
      <w:lang w:eastAsia="en-US"/>
    </w:rPr>
  </w:style>
  <w:style w:type="character" w:customStyle="1" w:styleId="125">
    <w:name w:val="ZGSM"/>
    <w:qFormat/>
    <w:uiPriority w:val="0"/>
  </w:style>
  <w:style w:type="paragraph" w:customStyle="1" w:styleId="12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127">
    <w:name w:val="Footer Char"/>
    <w:link w:val="21"/>
    <w:qFormat/>
    <w:uiPriority w:val="0"/>
    <w:rPr>
      <w:rFonts w:eastAsia="Times New Roman"/>
      <w:sz w:val="18"/>
      <w:szCs w:val="18"/>
      <w:lang w:eastAsia="en-US"/>
    </w:rPr>
  </w:style>
  <w:style w:type="paragraph" w:customStyle="1" w:styleId="128">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129">
    <w:name w:val="TAR"/>
    <w:basedOn w:val="53"/>
    <w:qFormat/>
    <w:uiPriority w:val="0"/>
    <w:pPr>
      <w:overflowPunct w:val="0"/>
      <w:autoSpaceDE w:val="0"/>
      <w:autoSpaceDN w:val="0"/>
      <w:adjustRightInd w:val="0"/>
      <w:jc w:val="right"/>
      <w:textAlignment w:val="baseline"/>
    </w:pPr>
    <w:rPr>
      <w:lang w:val="zh-CN" w:eastAsia="zh-CN"/>
    </w:rPr>
  </w:style>
  <w:style w:type="character" w:customStyle="1" w:styleId="130">
    <w:name w:val="TAL Car"/>
    <w:link w:val="53"/>
    <w:qFormat/>
    <w:uiPriority w:val="0"/>
    <w:rPr>
      <w:rFonts w:ascii="Arial" w:hAnsi="Arial" w:eastAsia="Times New Roman"/>
      <w:sz w:val="18"/>
      <w:lang w:val="en-GB" w:eastAsia="en-US"/>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EX"/>
    <w:basedOn w:val="1"/>
    <w:qFormat/>
    <w:uiPriority w:val="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133">
    <w:name w:val="FP"/>
    <w:basedOn w:val="1"/>
    <w:qFormat/>
    <w:uiPriority w:val="0"/>
    <w:pPr>
      <w:overflowPunct w:val="0"/>
      <w:autoSpaceDE w:val="0"/>
      <w:autoSpaceDN w:val="0"/>
      <w:adjustRightInd w:val="0"/>
      <w:textAlignment w:val="baseline"/>
    </w:pPr>
    <w:rPr>
      <w:szCs w:val="20"/>
      <w:lang w:val="en-GB" w:eastAsia="ja-JP"/>
    </w:rPr>
  </w:style>
  <w:style w:type="paragraph" w:customStyle="1" w:styleId="134">
    <w:name w:val="EW"/>
    <w:basedOn w:val="132"/>
    <w:qFormat/>
    <w:uiPriority w:val="0"/>
    <w:pPr>
      <w:spacing w:after="0"/>
    </w:pPr>
  </w:style>
  <w:style w:type="paragraph" w:customStyle="1" w:styleId="135">
    <w:name w:val="Editor's Note"/>
    <w:basedOn w:val="103"/>
    <w:link w:val="136"/>
    <w:qFormat/>
    <w:uiPriority w:val="0"/>
    <w:rPr>
      <w:color w:val="FF0000"/>
    </w:rPr>
  </w:style>
  <w:style w:type="character" w:customStyle="1" w:styleId="136">
    <w:name w:val="Editor's Note Char"/>
    <w:link w:val="135"/>
    <w:qFormat/>
    <w:uiPriority w:val="0"/>
    <w:rPr>
      <w:rFonts w:eastAsia="Times New Roman"/>
      <w:color w:val="FF0000"/>
      <w:lang w:val="zh-CN"/>
    </w:rPr>
  </w:style>
  <w:style w:type="paragraph" w:customStyle="1" w:styleId="1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1">
    <w:name w:val="TAN"/>
    <w:basedOn w:val="53"/>
    <w:qFormat/>
    <w:uiPriority w:val="0"/>
    <w:pPr>
      <w:overflowPunct w:val="0"/>
      <w:autoSpaceDE w:val="0"/>
      <w:autoSpaceDN w:val="0"/>
      <w:adjustRightInd w:val="0"/>
      <w:ind w:left="851" w:hanging="851"/>
      <w:textAlignment w:val="baseline"/>
    </w:pPr>
    <w:rPr>
      <w:lang w:val="zh-CN" w:eastAsia="zh-CN"/>
    </w:rPr>
  </w:style>
  <w:style w:type="paragraph" w:customStyle="1" w:styleId="14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4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4">
    <w:name w:val="B3"/>
    <w:basedOn w:val="30"/>
    <w:link w:val="145"/>
    <w:qFormat/>
    <w:uiPriority w:val="0"/>
    <w:rPr>
      <w:lang w:val="zh-CN" w:eastAsia="zh-CN"/>
    </w:rPr>
  </w:style>
  <w:style w:type="character" w:customStyle="1" w:styleId="145">
    <w:name w:val="B3 Char2"/>
    <w:link w:val="144"/>
    <w:qFormat/>
    <w:uiPriority w:val="0"/>
    <w:rPr>
      <w:rFonts w:eastAsia="Times New Roman"/>
      <w:lang w:val="zh-CN"/>
    </w:rPr>
  </w:style>
  <w:style w:type="paragraph" w:customStyle="1" w:styleId="146">
    <w:name w:val="B4"/>
    <w:basedOn w:val="31"/>
    <w:link w:val="147"/>
    <w:qFormat/>
    <w:uiPriority w:val="0"/>
    <w:rPr>
      <w:lang w:val="zh-CN" w:eastAsia="zh-CN"/>
    </w:rPr>
  </w:style>
  <w:style w:type="character" w:customStyle="1" w:styleId="147">
    <w:name w:val="B4 Char"/>
    <w:link w:val="146"/>
    <w:qFormat/>
    <w:uiPriority w:val="0"/>
    <w:rPr>
      <w:rFonts w:eastAsia="Times New Roman"/>
      <w:lang w:val="zh-CN"/>
    </w:rPr>
  </w:style>
  <w:style w:type="paragraph" w:customStyle="1" w:styleId="148">
    <w:name w:val="B5"/>
    <w:basedOn w:val="32"/>
    <w:link w:val="149"/>
    <w:qFormat/>
    <w:uiPriority w:val="0"/>
    <w:rPr>
      <w:lang w:val="zh-CN" w:eastAsia="zh-CN"/>
    </w:rPr>
  </w:style>
  <w:style w:type="character" w:customStyle="1" w:styleId="149">
    <w:name w:val="B5 Char"/>
    <w:link w:val="148"/>
    <w:qFormat/>
    <w:uiPriority w:val="0"/>
    <w:rPr>
      <w:rFonts w:eastAsia="Times New Roman"/>
      <w:lang w:val="zh-CN"/>
    </w:rPr>
  </w:style>
  <w:style w:type="paragraph" w:customStyle="1" w:styleId="150">
    <w:name w:val="B6"/>
    <w:basedOn w:val="148"/>
    <w:link w:val="151"/>
    <w:qFormat/>
    <w:uiPriority w:val="0"/>
    <w:pPr>
      <w:ind w:left="1985"/>
    </w:pPr>
    <w:rPr>
      <w:lang w:eastAsia="ja-JP"/>
    </w:rPr>
  </w:style>
  <w:style w:type="character" w:customStyle="1" w:styleId="151">
    <w:name w:val="B6 Char"/>
    <w:link w:val="150"/>
    <w:qFormat/>
    <w:uiPriority w:val="0"/>
    <w:rPr>
      <w:rFonts w:eastAsia="Times New Roman"/>
      <w:lang w:val="zh-CN" w:eastAsia="ja-JP"/>
    </w:rPr>
  </w:style>
  <w:style w:type="paragraph" w:customStyle="1" w:styleId="152">
    <w:name w:val="B7"/>
    <w:basedOn w:val="150"/>
    <w:link w:val="153"/>
    <w:qFormat/>
    <w:uiPriority w:val="0"/>
    <w:pPr>
      <w:ind w:left="2269"/>
    </w:pPr>
  </w:style>
  <w:style w:type="character" w:customStyle="1" w:styleId="153">
    <w:name w:val="B7 Char"/>
    <w:link w:val="152"/>
    <w:qFormat/>
    <w:uiPriority w:val="0"/>
    <w:rPr>
      <w:rFonts w:eastAsia="Times New Roman"/>
      <w:lang w:val="zh-CN" w:eastAsia="ja-JP"/>
    </w:rPr>
  </w:style>
  <w:style w:type="paragraph" w:customStyle="1" w:styleId="154">
    <w:name w:val="修订1"/>
    <w:hidden/>
    <w:semiHidden/>
    <w:qFormat/>
    <w:uiPriority w:val="99"/>
    <w:rPr>
      <w:rFonts w:ascii="Times New Roman" w:hAnsi="Times New Roman" w:eastAsia="Batang" w:cs="Times New Roman"/>
      <w:lang w:val="en-GB" w:eastAsia="en-US" w:bidi="ar-SA"/>
    </w:rPr>
  </w:style>
  <w:style w:type="paragraph" w:customStyle="1" w:styleId="155">
    <w:name w:val="B8"/>
    <w:basedOn w:val="152"/>
    <w:qFormat/>
    <w:uiPriority w:val="0"/>
    <w:pPr>
      <w:ind w:left="2552"/>
    </w:pPr>
  </w:style>
  <w:style w:type="paragraph" w:customStyle="1" w:styleId="156">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7">
    <w:name w:val="NW"/>
    <w:basedOn w:val="103"/>
    <w:qFormat/>
    <w:uiPriority w:val="0"/>
    <w:pPr>
      <w:spacing w:after="0"/>
    </w:pPr>
  </w:style>
  <w:style w:type="paragraph" w:customStyle="1" w:styleId="158">
    <w:name w:val="NF"/>
    <w:basedOn w:val="103"/>
    <w:qFormat/>
    <w:uiPriority w:val="0"/>
    <w:pPr>
      <w:keepNext/>
      <w:spacing w:after="0"/>
    </w:pPr>
    <w:rPr>
      <w:rFonts w:ascii="Arial" w:hAnsi="Arial"/>
      <w:sz w:val="18"/>
    </w:rPr>
  </w:style>
  <w:style w:type="paragraph" w:customStyle="1" w:styleId="159">
    <w:name w:val="ZTD"/>
    <w:basedOn w:val="138"/>
    <w:qFormat/>
    <w:uiPriority w:val="0"/>
    <w:pPr>
      <w:framePr w:hRule="auto" w:y="852"/>
    </w:pPr>
    <w:rPr>
      <w:i w:val="0"/>
      <w:sz w:val="40"/>
    </w:rPr>
  </w:style>
  <w:style w:type="paragraph" w:customStyle="1" w:styleId="160">
    <w:name w:val="ZV"/>
    <w:basedOn w:val="140"/>
    <w:qFormat/>
    <w:uiPriority w:val="0"/>
    <w:pPr>
      <w:framePr w:y="16161"/>
    </w:pPr>
  </w:style>
  <w:style w:type="paragraph" w:customStyle="1" w:styleId="161">
    <w:name w:val="B9"/>
    <w:basedOn w:val="155"/>
    <w:qFormat/>
    <w:uiPriority w:val="0"/>
    <w:pPr>
      <w:ind w:left="2836"/>
    </w:pPr>
  </w:style>
  <w:style w:type="paragraph" w:customStyle="1" w:styleId="1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character" w:customStyle="1" w:styleId="163">
    <w:name w:val="CR Cover Page Zchn"/>
    <w:link w:val="101"/>
    <w:qFormat/>
    <w:uiPriority w:val="0"/>
    <w:rPr>
      <w:rFonts w:ascii="Arial" w:hAnsi="Arial"/>
      <w:lang w:val="en-GB" w:eastAsia="en-US"/>
    </w:rPr>
  </w:style>
  <w:style w:type="character" w:customStyle="1" w:styleId="164">
    <w:name w:val="Comment Subject Char"/>
    <w:link w:val="18"/>
    <w:qFormat/>
    <w:uiPriority w:val="0"/>
    <w:rPr>
      <w:rFonts w:eastAsia="Times New Roman"/>
      <w:b/>
      <w:bCs/>
      <w:szCs w:val="24"/>
      <w:lang w:eastAsia="en-US"/>
    </w:rPr>
  </w:style>
  <w:style w:type="character" w:customStyle="1" w:styleId="165">
    <w:name w:val="Balloon Text Char"/>
    <w:link w:val="14"/>
    <w:semiHidden/>
    <w:qFormat/>
    <w:uiPriority w:val="0"/>
    <w:rPr>
      <w:rFonts w:eastAsia="Times New Roman"/>
      <w:sz w:val="18"/>
      <w:szCs w:val="18"/>
      <w:lang w:eastAsia="en-US"/>
    </w:rPr>
  </w:style>
  <w:style w:type="character" w:customStyle="1" w:styleId="166">
    <w:name w:val="Document Map Char"/>
    <w:link w:val="19"/>
    <w:qFormat/>
    <w:uiPriority w:val="0"/>
    <w:rPr>
      <w:rFonts w:eastAsia="Times New Roman"/>
      <w:szCs w:val="24"/>
      <w:shd w:val="clear" w:color="auto" w:fill="000080"/>
      <w:lang w:eastAsia="en-US"/>
    </w:rPr>
  </w:style>
  <w:style w:type="paragraph" w:customStyle="1" w:styleId="167">
    <w:name w:val="変更箇所1"/>
    <w:hidden/>
    <w:unhideWhenUsed/>
    <w:qFormat/>
    <w:uiPriority w:val="99"/>
    <w:rPr>
      <w:rFonts w:ascii="Times New Roman" w:hAnsi="Times New Roman" w:eastAsia="Times New Roman" w:cs="Times New Roman"/>
      <w:lang w:val="en-GB" w:eastAsia="ja-JP" w:bidi="ar-SA"/>
    </w:rPr>
  </w:style>
  <w:style w:type="paragraph" w:customStyle="1" w:styleId="168">
    <w:name w:val="3GPP_Header"/>
    <w:basedOn w:val="3"/>
    <w:qFormat/>
    <w:uiPriority w:val="0"/>
    <w:pPr>
      <w:tabs>
        <w:tab w:val="left" w:pos="1701"/>
        <w:tab w:val="right" w:pos="9639"/>
      </w:tabs>
      <w:overflowPunct w:val="0"/>
      <w:autoSpaceDE w:val="0"/>
      <w:autoSpaceDN w:val="0"/>
      <w:adjustRightInd w:val="0"/>
      <w:spacing w:after="240"/>
      <w:textAlignment w:val="baseline"/>
    </w:pPr>
    <w:rPr>
      <w:rFonts w:ascii="Arial" w:hAnsi="Arial" w:eastAsia="Times New Roman"/>
      <w:b/>
      <w:sz w:val="24"/>
      <w:szCs w:val="20"/>
      <w:lang w:val="en-GB" w:eastAsia="zh-CN"/>
    </w:rPr>
  </w:style>
  <w:style w:type="character" w:customStyle="1" w:styleId="169">
    <w:name w:val="标题 2 字符1"/>
    <w:qFormat/>
    <w:uiPriority w:val="0"/>
    <w:rPr>
      <w:rFonts w:ascii="等线 Light" w:hAnsi="等线 Light" w:eastAsia="等线 Light" w:cs="Times New Roman"/>
      <w:b/>
      <w:sz w:val="32"/>
      <w:szCs w:val="32"/>
      <w:lang w:val="en-US" w:eastAsia="en-US"/>
    </w:rPr>
  </w:style>
  <w:style w:type="paragraph" w:customStyle="1" w:styleId="170">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171">
    <w:name w:val="Intense Emphasis1"/>
    <w:qFormat/>
    <w:uiPriority w:val="21"/>
    <w:rPr>
      <w:i/>
      <w:iCs/>
      <w:color w:val="4472C4"/>
    </w:rPr>
  </w:style>
  <w:style w:type="character" w:customStyle="1" w:styleId="172">
    <w:name w:val="Unresolved Mention1"/>
    <w:semiHidden/>
    <w:unhideWhenUsed/>
    <w:qFormat/>
    <w:uiPriority w:val="99"/>
    <w:rPr>
      <w:color w:val="605E5C"/>
      <w:shd w:val="clear" w:color="auto" w:fill="E1DFDD"/>
    </w:rPr>
  </w:style>
  <w:style w:type="character" w:customStyle="1" w:styleId="173">
    <w:name w:val="题注 字符"/>
    <w:qFormat/>
    <w:uiPriority w:val="0"/>
    <w:rPr>
      <w:lang w:val="en-GB" w:eastAsia="en-US" w:bidi="ar-SA"/>
    </w:rPr>
  </w:style>
  <w:style w:type="paragraph" w:customStyle="1" w:styleId="174">
    <w:name w:val="Cat-b-Proposal"/>
    <w:basedOn w:val="98"/>
    <w:link w:val="175"/>
    <w:qFormat/>
    <w:uiPriority w:val="0"/>
    <w:pPr>
      <w:overflowPunct/>
      <w:autoSpaceDE/>
      <w:autoSpaceDN/>
      <w:adjustRightInd/>
      <w:spacing w:after="0"/>
      <w:jc w:val="left"/>
      <w:textAlignment w:val="auto"/>
    </w:pPr>
    <w:rPr>
      <w:rFonts w:asciiTheme="minorHAnsi" w:hAnsiTheme="minorHAnsi" w:eastAsiaTheme="minorEastAsia" w:cstheme="minorBidi"/>
      <w:sz w:val="24"/>
      <w:szCs w:val="24"/>
      <w:lang w:val="en-US"/>
    </w:rPr>
  </w:style>
  <w:style w:type="character" w:customStyle="1" w:styleId="175">
    <w:name w:val="Cat-b-Proposal Char"/>
    <w:basedOn w:val="12"/>
    <w:link w:val="174"/>
    <w:qFormat/>
    <w:uiPriority w:val="0"/>
    <w:rPr>
      <w:rFonts w:asciiTheme="minorHAnsi" w:hAnsiTheme="minorHAnsi" w:eastAsiaTheme="minorEastAsia" w:cstheme="minorBidi"/>
      <w:b/>
      <w:bCs/>
      <w:sz w:val="24"/>
      <w:szCs w:val="24"/>
    </w:rPr>
  </w:style>
  <w:style w:type="paragraph" w:customStyle="1" w:styleId="176">
    <w:name w:val="Comments"/>
    <w:basedOn w:val="1"/>
    <w:link w:val="177"/>
    <w:qFormat/>
    <w:uiPriority w:val="0"/>
    <w:pPr>
      <w:spacing w:before="40"/>
    </w:pPr>
    <w:rPr>
      <w:rFonts w:ascii="Arial" w:hAnsi="Arial" w:eastAsia="MS Mincho"/>
      <w:i/>
      <w:sz w:val="18"/>
      <w:lang w:val="en-GB" w:eastAsia="en-GB"/>
    </w:rPr>
  </w:style>
  <w:style w:type="character" w:customStyle="1" w:styleId="177">
    <w:name w:val="Comments Char"/>
    <w:link w:val="176"/>
    <w:qFormat/>
    <w:uiPriority w:val="0"/>
    <w:rPr>
      <w:rFonts w:ascii="Arial" w:hAnsi="Arial" w:eastAsia="MS Mincho"/>
      <w:i/>
      <w:sz w:val="18"/>
      <w:szCs w:val="24"/>
      <w:lang w:val="en-GB" w:eastAsia="en-GB"/>
    </w:rPr>
  </w:style>
  <w:style w:type="character" w:customStyle="1" w:styleId="178">
    <w:name w:val="15"/>
    <w:basedOn w:val="12"/>
    <w:qFormat/>
    <w:uiPriority w:val="0"/>
    <w:rPr>
      <w:rFonts w:hint="default" w:ascii="Times New Roman" w:hAnsi="Times New Roman" w:cs="Times New Roman"/>
      <w:i/>
      <w:iCs/>
      <w:color w:val="4472C4"/>
    </w:rPr>
  </w:style>
  <w:style w:type="paragraph" w:customStyle="1" w:styleId="179">
    <w:name w:val="main text"/>
    <w:basedOn w:val="1"/>
    <w:qFormat/>
    <w:uiPriority w:val="0"/>
    <w:pPr>
      <w:spacing w:before="60" w:after="60" w:line="288" w:lineRule="auto"/>
      <w:ind w:firstLine="200" w:firstLineChars="200"/>
      <w:jc w:val="both"/>
    </w:pPr>
    <w:rPr>
      <w:rFonts w:eastAsia="Malgun Gothic" w:cs="Batang"/>
      <w:lang w:eastAsia="ko-K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C5500-10A2-4157-81CA-2F75F821D7BC}">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Company>Vivo</Company>
  <Pages>3</Pages>
  <Words>1200</Words>
  <Characters>6843</Characters>
  <Lines>57</Lines>
  <Paragraphs>16</Paragraphs>
  <TotalTime>259</TotalTime>
  <ScaleCrop>false</ScaleCrop>
  <LinksUpToDate>false</LinksUpToDate>
  <CharactersWithSpaces>8027</CharactersWithSpaces>
  <Application>WPS Office_11.2.0.11341_F1E327BC-269C-435d-A152-05C5408002CA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2022-08-10T05:21:00Z</dcterms:created>
  <dc:creator>VIVO</dc:creator>
  <cp:lastModifiedBy>vivo(Boubacar)</cp:lastModifiedBy>
  <cp:lastPrinted>2022-08-02T01:28:00Z</cp:lastPrinted>
  <dcterms:modified xsi:type="dcterms:W3CDTF">2022-09-30T07:06:15Z</dcterms:modified>
  <dc:title>3GPP contribution</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2AAE4669304847D4A4A5A89DB227D55F</vt:lpwstr>
  </property>
</Properties>
</file>